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A8FE" w14:textId="408F2D6F" w:rsidR="009060AE" w:rsidRPr="009060AE" w:rsidRDefault="009060AE" w:rsidP="009060AE">
      <w:pPr>
        <w:spacing w:before="100" w:beforeAutospacing="1" w:after="100" w:afterAutospacing="1" w:line="240" w:lineRule="auto"/>
        <w:jc w:val="center"/>
        <w:outlineLvl w:val="0"/>
        <w:rPr>
          <w:rFonts w:ascii="Arial" w:eastAsia="Times New Roman" w:hAnsi="Arial" w:cs="Arial"/>
          <w:b/>
          <w:bCs/>
          <w:kern w:val="36"/>
          <w:sz w:val="36"/>
          <w:szCs w:val="28"/>
        </w:rPr>
      </w:pPr>
      <w:r w:rsidRPr="009060AE">
        <w:rPr>
          <w:rFonts w:ascii="Arial" w:eastAsia="Times New Roman" w:hAnsi="Arial" w:cs="Arial"/>
          <w:b/>
          <w:bCs/>
          <w:kern w:val="36"/>
          <w:sz w:val="36"/>
          <w:szCs w:val="28"/>
        </w:rPr>
        <w:t>Herefordshire</w:t>
      </w:r>
      <w:r w:rsidR="0080103C">
        <w:rPr>
          <w:rFonts w:ascii="Arial" w:eastAsia="Times New Roman" w:hAnsi="Arial" w:cs="Arial"/>
          <w:b/>
          <w:bCs/>
          <w:kern w:val="36"/>
          <w:sz w:val="36"/>
          <w:szCs w:val="28"/>
        </w:rPr>
        <w:t xml:space="preserve">, </w:t>
      </w:r>
      <w:r w:rsidRPr="009060AE">
        <w:rPr>
          <w:rFonts w:ascii="Arial" w:eastAsia="Times New Roman" w:hAnsi="Arial" w:cs="Arial"/>
          <w:b/>
          <w:bCs/>
          <w:kern w:val="36"/>
          <w:sz w:val="36"/>
          <w:szCs w:val="28"/>
        </w:rPr>
        <w:t>Ludlow</w:t>
      </w:r>
      <w:r w:rsidR="00AA42F5">
        <w:rPr>
          <w:rFonts w:ascii="Arial" w:eastAsia="Times New Roman" w:hAnsi="Arial" w:cs="Arial"/>
          <w:b/>
          <w:bCs/>
          <w:kern w:val="36"/>
          <w:sz w:val="36"/>
          <w:szCs w:val="28"/>
        </w:rPr>
        <w:t xml:space="preserve"> and North Shropshire</w:t>
      </w:r>
      <w:r w:rsidRPr="009060AE">
        <w:rPr>
          <w:rFonts w:ascii="Arial" w:eastAsia="Times New Roman" w:hAnsi="Arial" w:cs="Arial"/>
          <w:b/>
          <w:bCs/>
          <w:kern w:val="36"/>
          <w:sz w:val="36"/>
          <w:szCs w:val="28"/>
        </w:rPr>
        <w:t xml:space="preserve"> College</w:t>
      </w:r>
    </w:p>
    <w:p w14:paraId="510CA8FF" w14:textId="6926F553" w:rsidR="00386B27" w:rsidRDefault="00386B27" w:rsidP="009060AE">
      <w:pPr>
        <w:spacing w:before="100" w:beforeAutospacing="1" w:after="100" w:afterAutospacing="1" w:line="240" w:lineRule="auto"/>
        <w:jc w:val="center"/>
        <w:outlineLvl w:val="0"/>
        <w:rPr>
          <w:rFonts w:ascii="Arial" w:eastAsia="Times New Roman" w:hAnsi="Arial" w:cs="Arial"/>
          <w:b/>
          <w:bCs/>
          <w:kern w:val="36"/>
          <w:sz w:val="28"/>
          <w:szCs w:val="28"/>
        </w:rPr>
      </w:pPr>
      <w:r w:rsidRPr="00386B27">
        <w:rPr>
          <w:rFonts w:ascii="Arial" w:eastAsia="Times New Roman" w:hAnsi="Arial" w:cs="Arial"/>
          <w:b/>
          <w:bCs/>
          <w:kern w:val="36"/>
          <w:sz w:val="28"/>
          <w:szCs w:val="28"/>
        </w:rPr>
        <w:t xml:space="preserve">Sub Contract Policy </w:t>
      </w:r>
      <w:r w:rsidR="00AD2FEE">
        <w:rPr>
          <w:rFonts w:ascii="Arial" w:eastAsia="Times New Roman" w:hAnsi="Arial" w:cs="Arial"/>
          <w:b/>
          <w:bCs/>
          <w:kern w:val="36"/>
          <w:sz w:val="28"/>
          <w:szCs w:val="28"/>
        </w:rPr>
        <w:t>20</w:t>
      </w:r>
      <w:r w:rsidR="00E145B6">
        <w:rPr>
          <w:rFonts w:ascii="Arial" w:eastAsia="Times New Roman" w:hAnsi="Arial" w:cs="Arial"/>
          <w:b/>
          <w:bCs/>
          <w:kern w:val="36"/>
          <w:sz w:val="28"/>
          <w:szCs w:val="28"/>
        </w:rPr>
        <w:t>2</w:t>
      </w:r>
      <w:r w:rsidR="00F86959">
        <w:rPr>
          <w:rFonts w:ascii="Arial" w:eastAsia="Times New Roman" w:hAnsi="Arial" w:cs="Arial"/>
          <w:b/>
          <w:bCs/>
          <w:kern w:val="36"/>
          <w:sz w:val="28"/>
          <w:szCs w:val="28"/>
        </w:rPr>
        <w:t>1</w:t>
      </w:r>
      <w:r w:rsidR="00AD2FEE">
        <w:rPr>
          <w:rFonts w:ascii="Arial" w:eastAsia="Times New Roman" w:hAnsi="Arial" w:cs="Arial"/>
          <w:b/>
          <w:bCs/>
          <w:kern w:val="36"/>
          <w:sz w:val="28"/>
          <w:szCs w:val="28"/>
        </w:rPr>
        <w:t>-</w:t>
      </w:r>
      <w:r w:rsidR="009E0992">
        <w:rPr>
          <w:rFonts w:ascii="Arial" w:eastAsia="Times New Roman" w:hAnsi="Arial" w:cs="Arial"/>
          <w:b/>
          <w:bCs/>
          <w:kern w:val="36"/>
          <w:sz w:val="28"/>
          <w:szCs w:val="28"/>
        </w:rPr>
        <w:t>2</w:t>
      </w:r>
      <w:r w:rsidR="00F86959">
        <w:rPr>
          <w:rFonts w:ascii="Arial" w:eastAsia="Times New Roman" w:hAnsi="Arial" w:cs="Arial"/>
          <w:b/>
          <w:bCs/>
          <w:kern w:val="36"/>
          <w:sz w:val="28"/>
          <w:szCs w:val="28"/>
        </w:rPr>
        <w:t>2</w:t>
      </w:r>
    </w:p>
    <w:p w14:paraId="5DDE4FCF" w14:textId="77777777" w:rsidR="009E0992" w:rsidRPr="00386B27" w:rsidRDefault="009E0992" w:rsidP="009060AE">
      <w:pPr>
        <w:spacing w:before="100" w:beforeAutospacing="1" w:after="100" w:afterAutospacing="1" w:line="240" w:lineRule="auto"/>
        <w:jc w:val="center"/>
        <w:outlineLvl w:val="0"/>
        <w:rPr>
          <w:rFonts w:ascii="Arial" w:eastAsia="Times New Roman" w:hAnsi="Arial" w:cs="Arial"/>
          <w:b/>
          <w:bCs/>
          <w:kern w:val="36"/>
          <w:sz w:val="28"/>
          <w:szCs w:val="28"/>
        </w:rPr>
      </w:pPr>
    </w:p>
    <w:p w14:paraId="510CA900"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Scope</w:t>
      </w:r>
    </w:p>
    <w:p w14:paraId="510CA901" w14:textId="137CDC33"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The policy applies to all supply chain activity supported with funds supplied by the </w:t>
      </w:r>
      <w:r w:rsidR="00877984">
        <w:rPr>
          <w:rFonts w:ascii="Arial" w:eastAsia="Times New Roman" w:hAnsi="Arial" w:cs="Arial"/>
        </w:rPr>
        <w:t xml:space="preserve">Education and </w:t>
      </w:r>
      <w:r w:rsidRPr="00386B27">
        <w:rPr>
          <w:rFonts w:ascii="Arial" w:eastAsia="Times New Roman" w:hAnsi="Arial" w:cs="Arial"/>
        </w:rPr>
        <w:t>Skills Funding Agency, or any successor organisations.</w:t>
      </w:r>
    </w:p>
    <w:p w14:paraId="510CA902"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Context</w:t>
      </w:r>
    </w:p>
    <w:p w14:paraId="510CA903" w14:textId="48181E02"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The policy is now a mandatory requirement that must be in place prior to participating in any sub-contracting activity from 1 August 2013. The content of this policy has been developed in line with AoC/ AELP Common Accord, the </w:t>
      </w:r>
      <w:r w:rsidR="001F16D6">
        <w:rPr>
          <w:rFonts w:ascii="Arial" w:eastAsia="Times New Roman" w:hAnsi="Arial" w:cs="Arial"/>
        </w:rPr>
        <w:t>E</w:t>
      </w:r>
      <w:r w:rsidRPr="00386B27">
        <w:rPr>
          <w:rFonts w:ascii="Arial" w:eastAsia="Times New Roman" w:hAnsi="Arial" w:cs="Arial"/>
        </w:rPr>
        <w:t>SFA Funding rules and the LSIS Supply Chain Management document.</w:t>
      </w:r>
    </w:p>
    <w:p w14:paraId="510CA904"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Overarching Principle</w:t>
      </w:r>
    </w:p>
    <w:p w14:paraId="510CA905" w14:textId="77777777"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The College will use its supply chains to optimise the impact and effectiveness of service delivery to the end user. The college will therefore ensure that:</w:t>
      </w:r>
    </w:p>
    <w:p w14:paraId="510CA906"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p>
    <w:p w14:paraId="510CA907"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p>
    <w:p w14:paraId="510CA908"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The funding that is retained by the college will be related to the costs of the services provided. These services, and the levels of funding being retained for them, will be clearly documented and agreed by all parties. The rates of such retained funding will be commercially viable for both sides and will be negotiated and agreed in a fair and transparent manner. They will be proportionate to the actual services being provided.</w:t>
      </w:r>
    </w:p>
    <w:p w14:paraId="510CA909" w14:textId="77777777" w:rsidR="00386B27" w:rsidRPr="00386B27" w:rsidRDefault="00386B27" w:rsidP="00386B27">
      <w:pPr>
        <w:numPr>
          <w:ilvl w:val="0"/>
          <w:numId w:val="1"/>
        </w:numPr>
        <w:spacing w:before="100" w:beforeAutospacing="1" w:after="100" w:afterAutospacing="1" w:line="240" w:lineRule="auto"/>
        <w:rPr>
          <w:rFonts w:ascii="Arial" w:eastAsia="Times New Roman" w:hAnsi="Arial" w:cs="Arial"/>
        </w:rPr>
      </w:pPr>
      <w:r w:rsidRPr="00386B27">
        <w:rPr>
          <w:rFonts w:ascii="Arial" w:eastAsia="Times New Roman" w:hAnsi="Arial" w:cs="Arial"/>
        </w:rPr>
        <w:t>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 will be conducted in good faith in accordance with the Overarching Principle.</w:t>
      </w:r>
    </w:p>
    <w:p w14:paraId="510CA90A"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bookmarkStart w:id="0" w:name="_Hlk44933363"/>
      <w:r w:rsidRPr="00386B27">
        <w:rPr>
          <w:rFonts w:ascii="Arial" w:eastAsia="Times New Roman" w:hAnsi="Arial" w:cs="Arial"/>
          <w:b/>
          <w:bCs/>
        </w:rPr>
        <w:t>Rationale for Sub-Contracting</w:t>
      </w:r>
    </w:p>
    <w:p w14:paraId="510CA90B" w14:textId="77777777"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The College engages with sub-contractors to better meet customer needs. Reasons are varied but could be:</w:t>
      </w:r>
    </w:p>
    <w:p w14:paraId="510CA90C"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To temporarily expand provision to meet a short term need.</w:t>
      </w:r>
    </w:p>
    <w:p w14:paraId="510CA90D"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To provide immediate provision whilst expanding direct capacity. This might include working with sub-contractors to explore and learn about new frameworks or sectors prior to investment in resources.</w:t>
      </w:r>
    </w:p>
    <w:p w14:paraId="510CA90E"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Providing access to, or engagement with, a new range of customers.</w:t>
      </w:r>
    </w:p>
    <w:p w14:paraId="510CA90F"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To ensure delivery intention is met where there is a recognised risk in direct provision (e.g. through JCP referrals not being realised).</w:t>
      </w:r>
    </w:p>
    <w:p w14:paraId="510CA910"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To support another provider to develop capacity/quality.</w:t>
      </w:r>
    </w:p>
    <w:p w14:paraId="510CA911" w14:textId="77777777" w:rsidR="00386B27" w:rsidRPr="00386B27" w:rsidRDefault="00386B27" w:rsidP="00386B27">
      <w:pPr>
        <w:numPr>
          <w:ilvl w:val="0"/>
          <w:numId w:val="2"/>
        </w:numPr>
        <w:spacing w:before="100" w:beforeAutospacing="1" w:after="100" w:afterAutospacing="1" w:line="240" w:lineRule="auto"/>
        <w:rPr>
          <w:rFonts w:ascii="Arial" w:eastAsia="Times New Roman" w:hAnsi="Arial" w:cs="Arial"/>
        </w:rPr>
      </w:pPr>
      <w:r w:rsidRPr="00386B27">
        <w:rPr>
          <w:rFonts w:ascii="Arial" w:eastAsia="Times New Roman" w:hAnsi="Arial" w:cs="Arial"/>
        </w:rPr>
        <w:t>To provide niche delivery where the cost of developing direct delivery would be inappropriate.</w:t>
      </w:r>
    </w:p>
    <w:p w14:paraId="510CA912" w14:textId="7FF1CE3C" w:rsidR="00386B27" w:rsidRDefault="00386B27" w:rsidP="00386B27">
      <w:pPr>
        <w:numPr>
          <w:ilvl w:val="0"/>
          <w:numId w:val="2"/>
        </w:numPr>
        <w:spacing w:before="100" w:beforeAutospacing="1" w:after="100" w:afterAutospacing="1" w:line="240" w:lineRule="auto"/>
        <w:rPr>
          <w:rFonts w:ascii="Arial" w:eastAsia="Times New Roman" w:hAnsi="Arial" w:cs="Arial"/>
        </w:rPr>
      </w:pPr>
      <w:bookmarkStart w:id="1" w:name="_Hlk44933506"/>
      <w:bookmarkEnd w:id="0"/>
      <w:r w:rsidRPr="00386B27">
        <w:rPr>
          <w:rFonts w:ascii="Arial" w:eastAsia="Times New Roman" w:hAnsi="Arial" w:cs="Arial"/>
        </w:rPr>
        <w:lastRenderedPageBreak/>
        <w:t>To support employers with a wide geographic requirement</w:t>
      </w:r>
    </w:p>
    <w:p w14:paraId="7A81D5A5" w14:textId="5811D441" w:rsidR="00391179" w:rsidRDefault="00391179" w:rsidP="00391179">
      <w:pPr>
        <w:spacing w:before="100" w:beforeAutospacing="1" w:after="100" w:afterAutospacing="1" w:line="240" w:lineRule="auto"/>
        <w:rPr>
          <w:rFonts w:ascii="Arial" w:eastAsia="Times New Roman" w:hAnsi="Arial" w:cs="Arial"/>
        </w:rPr>
      </w:pPr>
      <w:r>
        <w:rPr>
          <w:rFonts w:ascii="Arial" w:eastAsia="Times New Roman" w:hAnsi="Arial" w:cs="Arial"/>
        </w:rPr>
        <w:t xml:space="preserve">All delivery subcontracting </w:t>
      </w:r>
      <w:r w:rsidR="00345B5C">
        <w:rPr>
          <w:rFonts w:ascii="Arial" w:eastAsia="Times New Roman" w:hAnsi="Arial" w:cs="Arial"/>
        </w:rPr>
        <w:t>meets the College’s strategic aims which are:</w:t>
      </w:r>
    </w:p>
    <w:p w14:paraId="7756D729" w14:textId="77777777" w:rsidR="00345B5C" w:rsidRPr="004C5D6E" w:rsidRDefault="00345B5C" w:rsidP="00345B5C">
      <w:pPr>
        <w:numPr>
          <w:ilvl w:val="0"/>
          <w:numId w:val="4"/>
        </w:numPr>
        <w:spacing w:after="0" w:line="240" w:lineRule="auto"/>
        <w:rPr>
          <w:rFonts w:ascii="Arial" w:hAnsi="Arial"/>
          <w:snapToGrid w:val="0"/>
          <w:color w:val="000000"/>
          <w:sz w:val="20"/>
        </w:rPr>
      </w:pPr>
      <w:r w:rsidRPr="004C5D6E">
        <w:rPr>
          <w:rFonts w:ascii="Arial" w:hAnsi="Arial"/>
          <w:snapToGrid w:val="0"/>
          <w:color w:val="000000"/>
          <w:sz w:val="20"/>
        </w:rPr>
        <w:t>To inspire and support all our learners to achieve their best;</w:t>
      </w:r>
    </w:p>
    <w:p w14:paraId="598940B2" w14:textId="77777777" w:rsidR="00345B5C" w:rsidRPr="004C5D6E" w:rsidRDefault="00345B5C" w:rsidP="00345B5C">
      <w:pPr>
        <w:numPr>
          <w:ilvl w:val="0"/>
          <w:numId w:val="4"/>
        </w:numPr>
        <w:spacing w:after="0" w:line="240" w:lineRule="auto"/>
        <w:rPr>
          <w:rFonts w:ascii="Arial" w:hAnsi="Arial"/>
          <w:snapToGrid w:val="0"/>
          <w:color w:val="000000"/>
          <w:sz w:val="20"/>
        </w:rPr>
      </w:pPr>
      <w:r w:rsidRPr="004C5D6E">
        <w:rPr>
          <w:rFonts w:ascii="Arial" w:hAnsi="Arial"/>
          <w:snapToGrid w:val="0"/>
          <w:color w:val="000000"/>
          <w:sz w:val="20"/>
        </w:rPr>
        <w:t>To create outstanding learning opportunities that meet the needs of young people, adults and employers;</w:t>
      </w:r>
    </w:p>
    <w:p w14:paraId="0183CFCC" w14:textId="77777777" w:rsidR="00345B5C" w:rsidRPr="004C5D6E" w:rsidRDefault="00345B5C" w:rsidP="00345B5C">
      <w:pPr>
        <w:numPr>
          <w:ilvl w:val="0"/>
          <w:numId w:val="4"/>
        </w:numPr>
        <w:spacing w:after="0" w:line="240" w:lineRule="auto"/>
        <w:rPr>
          <w:rFonts w:ascii="Arial" w:hAnsi="Arial"/>
          <w:snapToGrid w:val="0"/>
          <w:color w:val="000000"/>
          <w:sz w:val="20"/>
        </w:rPr>
      </w:pPr>
      <w:r w:rsidRPr="004C5D6E">
        <w:rPr>
          <w:rFonts w:ascii="Arial" w:hAnsi="Arial"/>
          <w:snapToGrid w:val="0"/>
          <w:color w:val="000000"/>
          <w:sz w:val="20"/>
        </w:rPr>
        <w:t>To provide outstanding resources for learning;</w:t>
      </w:r>
    </w:p>
    <w:p w14:paraId="38C78480" w14:textId="77777777" w:rsidR="00345B5C" w:rsidRPr="004C5D6E" w:rsidRDefault="00345B5C" w:rsidP="00345B5C">
      <w:pPr>
        <w:numPr>
          <w:ilvl w:val="0"/>
          <w:numId w:val="4"/>
        </w:numPr>
        <w:spacing w:after="0" w:line="240" w:lineRule="auto"/>
        <w:rPr>
          <w:rFonts w:ascii="Arial" w:hAnsi="Arial"/>
          <w:snapToGrid w:val="0"/>
          <w:color w:val="000000"/>
          <w:sz w:val="20"/>
        </w:rPr>
      </w:pPr>
      <w:r w:rsidRPr="004C5D6E">
        <w:rPr>
          <w:rFonts w:ascii="Arial" w:hAnsi="Arial"/>
          <w:snapToGrid w:val="0"/>
          <w:color w:val="000000"/>
          <w:sz w:val="20"/>
        </w:rPr>
        <w:t>To build partnerships that provide improved services for learners and employers, and</w:t>
      </w:r>
    </w:p>
    <w:p w14:paraId="5932EF9A" w14:textId="77777777" w:rsidR="00345B5C" w:rsidRPr="004C5D6E" w:rsidRDefault="00345B5C" w:rsidP="00345B5C">
      <w:pPr>
        <w:numPr>
          <w:ilvl w:val="0"/>
          <w:numId w:val="4"/>
        </w:numPr>
        <w:spacing w:after="0" w:line="240" w:lineRule="auto"/>
        <w:rPr>
          <w:rFonts w:ascii="Arial" w:hAnsi="Arial"/>
          <w:snapToGrid w:val="0"/>
          <w:color w:val="000000"/>
          <w:sz w:val="20"/>
        </w:rPr>
      </w:pPr>
      <w:r w:rsidRPr="004C5D6E">
        <w:rPr>
          <w:rFonts w:ascii="Arial" w:hAnsi="Arial"/>
          <w:snapToGrid w:val="0"/>
          <w:color w:val="000000"/>
          <w:sz w:val="20"/>
        </w:rPr>
        <w:t>To manage the College effectively and efficiently to maintain financial viability.</w:t>
      </w:r>
    </w:p>
    <w:bookmarkEnd w:id="1"/>
    <w:p w14:paraId="510CA913" w14:textId="77777777" w:rsidR="009060AE" w:rsidRDefault="009060AE" w:rsidP="00386B27">
      <w:pPr>
        <w:spacing w:before="100" w:beforeAutospacing="1" w:after="100" w:afterAutospacing="1" w:line="240" w:lineRule="auto"/>
        <w:outlineLvl w:val="2"/>
        <w:rPr>
          <w:rFonts w:ascii="Arial" w:eastAsia="Times New Roman" w:hAnsi="Arial" w:cs="Arial"/>
          <w:b/>
          <w:bCs/>
        </w:rPr>
      </w:pPr>
    </w:p>
    <w:p w14:paraId="510CA914"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Quality Assurance</w:t>
      </w:r>
    </w:p>
    <w:p w14:paraId="510CA915" w14:textId="77777777"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Sub contracted activity is a fundamental part of the College’s provision. The quality of the provision will be monitored and managed through the existing College QA processes and procedures, as amended in order to fully encompass all sub contracted activity.</w:t>
      </w:r>
    </w:p>
    <w:p w14:paraId="510CA916" w14:textId="77777777"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 for example through the </w:t>
      </w:r>
      <w:r w:rsidR="009060AE" w:rsidRPr="00386B27">
        <w:rPr>
          <w:rFonts w:ascii="Arial" w:eastAsia="Times New Roman" w:hAnsi="Arial" w:cs="Arial"/>
        </w:rPr>
        <w:t>Self-Assessment</w:t>
      </w:r>
      <w:r w:rsidRPr="00386B27">
        <w:rPr>
          <w:rFonts w:ascii="Arial" w:eastAsia="Times New Roman" w:hAnsi="Arial" w:cs="Arial"/>
        </w:rPr>
        <w:t xml:space="preserve"> Report process.</w:t>
      </w:r>
    </w:p>
    <w:p w14:paraId="510CA917" w14:textId="77777777" w:rsidR="00386B27" w:rsidRPr="00386B27" w:rsidRDefault="00386B27" w:rsidP="00386B27">
      <w:pPr>
        <w:spacing w:before="100" w:beforeAutospacing="1" w:after="100" w:afterAutospacing="1" w:line="240" w:lineRule="auto"/>
        <w:outlineLvl w:val="2"/>
        <w:rPr>
          <w:rFonts w:ascii="Arial" w:eastAsia="Times New Roman" w:hAnsi="Arial" w:cs="Arial"/>
          <w:b/>
          <w:bCs/>
        </w:rPr>
      </w:pPr>
      <w:r w:rsidRPr="00386B27">
        <w:rPr>
          <w:rFonts w:ascii="Arial" w:eastAsia="Times New Roman" w:hAnsi="Arial" w:cs="Arial"/>
          <w:b/>
          <w:bCs/>
        </w:rPr>
        <w:t>Publication of information relating to sub-contracting</w:t>
      </w:r>
    </w:p>
    <w:p w14:paraId="510CA918" w14:textId="432C2C05" w:rsidR="00386B27" w:rsidRPr="00386B27" w:rsidRDefault="00386B27" w:rsidP="00386B27">
      <w:pPr>
        <w:spacing w:before="100" w:beforeAutospacing="1" w:after="100" w:afterAutospacing="1" w:line="240" w:lineRule="auto"/>
        <w:rPr>
          <w:rFonts w:ascii="Arial" w:eastAsia="Times New Roman" w:hAnsi="Arial" w:cs="Arial"/>
        </w:rPr>
      </w:pPr>
      <w:r w:rsidRPr="00386B27">
        <w:rPr>
          <w:rFonts w:ascii="Arial" w:eastAsia="Times New Roman" w:hAnsi="Arial" w:cs="Arial"/>
        </w:rPr>
        <w:t xml:space="preserve">In compliance with </w:t>
      </w:r>
      <w:r w:rsidR="00A00B56">
        <w:rPr>
          <w:rFonts w:ascii="Arial" w:eastAsia="Times New Roman" w:hAnsi="Arial" w:cs="Arial"/>
        </w:rPr>
        <w:t xml:space="preserve">Education and </w:t>
      </w:r>
      <w:r w:rsidRPr="00386B27">
        <w:rPr>
          <w:rFonts w:ascii="Arial" w:eastAsia="Times New Roman" w:hAnsi="Arial" w:cs="Arial"/>
        </w:rPr>
        <w:t>Skills Funding Agency and other agency funding rules that apply, the College publish</w:t>
      </w:r>
      <w:r w:rsidR="00910D30">
        <w:rPr>
          <w:rFonts w:ascii="Arial" w:eastAsia="Times New Roman" w:hAnsi="Arial" w:cs="Arial"/>
        </w:rPr>
        <w:t>es</w:t>
      </w:r>
      <w:r w:rsidRPr="00386B27">
        <w:rPr>
          <w:rFonts w:ascii="Arial" w:eastAsia="Times New Roman" w:hAnsi="Arial" w:cs="Arial"/>
        </w:rPr>
        <w:t xml:space="preserve"> its sub-contracting fees and charges policy on its website This will only relate to ‘provision subcontracting’ i.e. subcontracted delivery of full programmes or frameworks. It will not include the delivery of a service as part of the delivery of a programme (for example, buying the delivery of part of an Apprenticeship framework or outreach support). </w:t>
      </w:r>
    </w:p>
    <w:p w14:paraId="54E046F0" w14:textId="77777777" w:rsidR="009E0992" w:rsidRDefault="009E0992" w:rsidP="00386B27">
      <w:pPr>
        <w:spacing w:before="100" w:beforeAutospacing="1" w:after="100" w:afterAutospacing="1" w:line="240" w:lineRule="auto"/>
        <w:rPr>
          <w:rFonts w:ascii="Arial" w:eastAsia="Times New Roman" w:hAnsi="Arial" w:cs="Arial"/>
        </w:rPr>
      </w:pPr>
      <w:r w:rsidRPr="009E0992">
        <w:rPr>
          <w:rFonts w:ascii="Arial" w:eastAsia="Times New Roman" w:hAnsi="Arial" w:cs="Arial"/>
        </w:rPr>
        <w:t xml:space="preserve">The Policy is available on-line at </w:t>
      </w:r>
      <w:r w:rsidRPr="00910D30">
        <w:rPr>
          <w:rFonts w:ascii="Arial" w:eastAsia="Times New Roman" w:hAnsi="Arial" w:cs="Arial"/>
          <w:color w:val="0070C0"/>
        </w:rPr>
        <w:t xml:space="preserve">www.hlcollege.ac.uk </w:t>
      </w:r>
      <w:r w:rsidRPr="009E0992">
        <w:rPr>
          <w:rFonts w:ascii="Arial" w:eastAsia="Times New Roman" w:hAnsi="Arial" w:cs="Arial"/>
        </w:rPr>
        <w:t xml:space="preserve">and can be made available in hard copy upon request.  </w:t>
      </w:r>
    </w:p>
    <w:p w14:paraId="798064BB" w14:textId="61C5E27D" w:rsidR="008C3839" w:rsidRDefault="009E0992" w:rsidP="00386B27">
      <w:pPr>
        <w:spacing w:before="100" w:beforeAutospacing="1" w:after="100" w:afterAutospacing="1" w:line="240" w:lineRule="auto"/>
        <w:rPr>
          <w:rFonts w:ascii="Arial" w:eastAsia="Times New Roman" w:hAnsi="Arial" w:cs="Arial"/>
        </w:rPr>
      </w:pPr>
      <w:r w:rsidRPr="009E0992">
        <w:rPr>
          <w:rFonts w:ascii="Arial" w:eastAsia="Times New Roman" w:hAnsi="Arial" w:cs="Arial"/>
        </w:rPr>
        <w:t>The College will ensure all actual and potential subcontractors have sight of this policy and any other relevant documents.</w:t>
      </w:r>
      <w:r w:rsidRPr="009E0992">
        <w:t xml:space="preserve"> </w:t>
      </w:r>
      <w:r w:rsidRPr="009E0992">
        <w:rPr>
          <w:rFonts w:ascii="Arial" w:eastAsia="Times New Roman" w:hAnsi="Arial" w:cs="Arial"/>
        </w:rPr>
        <w:t xml:space="preserve">The </w:t>
      </w:r>
      <w:r>
        <w:rPr>
          <w:rFonts w:ascii="Arial" w:eastAsia="Times New Roman" w:hAnsi="Arial" w:cs="Arial"/>
        </w:rPr>
        <w:t>p</w:t>
      </w:r>
      <w:r w:rsidRPr="009E0992">
        <w:rPr>
          <w:rFonts w:ascii="Arial" w:eastAsia="Times New Roman" w:hAnsi="Arial" w:cs="Arial"/>
        </w:rPr>
        <w:t>olicy will be discussed with all current and future subcontractors during contract negotiation meetings.</w:t>
      </w:r>
    </w:p>
    <w:p w14:paraId="5AB3AB91" w14:textId="15B7C1A9" w:rsidR="008C3839" w:rsidRDefault="008C3839" w:rsidP="00386B27">
      <w:pPr>
        <w:spacing w:before="100" w:beforeAutospacing="1" w:after="100" w:afterAutospacing="1" w:line="240" w:lineRule="auto"/>
        <w:rPr>
          <w:rFonts w:ascii="Arial" w:eastAsia="Times New Roman" w:hAnsi="Arial" w:cs="Arial"/>
          <w:b/>
        </w:rPr>
      </w:pPr>
      <w:r w:rsidRPr="008C3839">
        <w:rPr>
          <w:rFonts w:ascii="Arial" w:eastAsia="Times New Roman" w:hAnsi="Arial" w:cs="Arial"/>
          <w:b/>
        </w:rPr>
        <w:t>Management Fees</w:t>
      </w:r>
    </w:p>
    <w:p w14:paraId="1DAD611B" w14:textId="4AFF337D" w:rsidR="00C74ED5" w:rsidRDefault="008C3839" w:rsidP="008C3839">
      <w:pPr>
        <w:spacing w:before="100" w:beforeAutospacing="1" w:after="100" w:afterAutospacing="1" w:line="240" w:lineRule="auto"/>
        <w:rPr>
          <w:rFonts w:ascii="Arial" w:eastAsia="Times New Roman" w:hAnsi="Arial" w:cs="Arial"/>
        </w:rPr>
      </w:pPr>
      <w:r>
        <w:rPr>
          <w:rFonts w:ascii="Arial" w:eastAsia="Times New Roman" w:hAnsi="Arial" w:cs="Arial"/>
        </w:rPr>
        <w:t>Herefordshire, Ludlow &amp; North Shropshire</w:t>
      </w:r>
      <w:r w:rsidRPr="008C3839">
        <w:rPr>
          <w:rFonts w:ascii="Arial" w:eastAsia="Times New Roman" w:hAnsi="Arial" w:cs="Arial"/>
        </w:rPr>
        <w:t xml:space="preserve"> College retains a management fee from all subcontracted partner organisations, t</w:t>
      </w:r>
      <w:r>
        <w:rPr>
          <w:rFonts w:ascii="Arial" w:eastAsia="Times New Roman" w:hAnsi="Arial" w:cs="Arial"/>
        </w:rPr>
        <w:t>ypically in the range 30% to 2</w:t>
      </w:r>
      <w:r w:rsidR="00DA05EE">
        <w:rPr>
          <w:rFonts w:ascii="Arial" w:eastAsia="Times New Roman" w:hAnsi="Arial" w:cs="Arial"/>
        </w:rPr>
        <w:t>0</w:t>
      </w:r>
      <w:r>
        <w:rPr>
          <w:rFonts w:ascii="Arial" w:eastAsia="Times New Roman" w:hAnsi="Arial" w:cs="Arial"/>
        </w:rPr>
        <w:t>%.</w:t>
      </w:r>
      <w:r w:rsidRPr="008C3839">
        <w:rPr>
          <w:rFonts w:ascii="Arial" w:eastAsia="Times New Roman" w:hAnsi="Arial" w:cs="Arial"/>
        </w:rPr>
        <w:t xml:space="preserve">  </w:t>
      </w:r>
      <w:r w:rsidR="00C74ED5" w:rsidRPr="00C74ED5">
        <w:rPr>
          <w:rFonts w:ascii="Arial" w:eastAsia="Times New Roman" w:hAnsi="Arial" w:cs="Arial"/>
        </w:rPr>
        <w:t>Th</w:t>
      </w:r>
      <w:r w:rsidR="00C74ED5">
        <w:rPr>
          <w:rFonts w:ascii="Arial" w:eastAsia="Times New Roman" w:hAnsi="Arial" w:cs="Arial"/>
        </w:rPr>
        <w:t>e</w:t>
      </w:r>
      <w:r w:rsidR="00C74ED5" w:rsidRPr="00C74ED5">
        <w:rPr>
          <w:rFonts w:ascii="Arial" w:eastAsia="Times New Roman" w:hAnsi="Arial" w:cs="Arial"/>
        </w:rPr>
        <w:t xml:space="preserve"> f</w:t>
      </w:r>
      <w:r w:rsidR="00C74ED5">
        <w:rPr>
          <w:rFonts w:ascii="Arial" w:eastAsia="Times New Roman" w:hAnsi="Arial" w:cs="Arial"/>
        </w:rPr>
        <w:t xml:space="preserve">ees charged reflect </w:t>
      </w:r>
      <w:r w:rsidR="00C74ED5" w:rsidRPr="00C74ED5">
        <w:rPr>
          <w:rFonts w:ascii="Arial" w:eastAsia="Times New Roman" w:hAnsi="Arial" w:cs="Arial"/>
        </w:rPr>
        <w:t xml:space="preserve">the total cost that the College incurs in effectively identifying, selecting and managing all sub-contracted provision. This covers the cost to the College of any additional support that the College deems necessary to ensure the quality of teaching and learning and the success rates of any sub contracted provision. </w:t>
      </w:r>
    </w:p>
    <w:p w14:paraId="2C6787CA" w14:textId="2AD7434C"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Subcontractors working with H</w:t>
      </w:r>
      <w:r>
        <w:rPr>
          <w:rFonts w:ascii="Arial" w:eastAsia="Times New Roman" w:hAnsi="Arial" w:cs="Arial"/>
        </w:rPr>
        <w:t>erefordshire, Ludlow and North Shropshire</w:t>
      </w:r>
      <w:r w:rsidRPr="008C3839">
        <w:rPr>
          <w:rFonts w:ascii="Arial" w:eastAsia="Times New Roman" w:hAnsi="Arial" w:cs="Arial"/>
        </w:rPr>
        <w:t xml:space="preserve"> College receive a high level of support and guidance and access to College systems, </w:t>
      </w:r>
      <w:r w:rsidR="00C74ED5" w:rsidRPr="008C3839">
        <w:rPr>
          <w:rFonts w:ascii="Arial" w:eastAsia="Times New Roman" w:hAnsi="Arial" w:cs="Arial"/>
        </w:rPr>
        <w:t>including: -</w:t>
      </w:r>
      <w:r w:rsidRPr="008C3839">
        <w:rPr>
          <w:rFonts w:ascii="Arial" w:eastAsia="Times New Roman" w:hAnsi="Arial" w:cs="Arial"/>
        </w:rPr>
        <w:t xml:space="preserve"> </w:t>
      </w:r>
    </w:p>
    <w:p w14:paraId="1AD10B6E"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 xml:space="preserve">Quality management systems </w:t>
      </w:r>
    </w:p>
    <w:p w14:paraId="62B5C790"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 xml:space="preserve">Management Information Services and data control advice </w:t>
      </w:r>
    </w:p>
    <w:p w14:paraId="72B5D360"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 xml:space="preserve">Audit of management systems and delivery and observation of teaching, learning and assessment </w:t>
      </w:r>
    </w:p>
    <w:p w14:paraId="447AF193"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Safeguarding of Young People and Vulnerable Adults procedures including Prevent</w:t>
      </w:r>
    </w:p>
    <w:p w14:paraId="3B927D3A"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Equality, diversity and inclusion</w:t>
      </w:r>
    </w:p>
    <w:p w14:paraId="3EE27B71"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lastRenderedPageBreak/>
        <w:t>•</w:t>
      </w:r>
      <w:r w:rsidRPr="008C3839">
        <w:rPr>
          <w:rFonts w:ascii="Arial" w:eastAsia="Times New Roman" w:hAnsi="Arial" w:cs="Arial"/>
        </w:rPr>
        <w:tab/>
        <w:t xml:space="preserve">Policy development </w:t>
      </w:r>
    </w:p>
    <w:p w14:paraId="11A662FD"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 xml:space="preserve">Support with Funding Rules compliance </w:t>
      </w:r>
    </w:p>
    <w:p w14:paraId="37303B95" w14:textId="77777777"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w:t>
      </w:r>
      <w:r w:rsidRPr="008C3839">
        <w:rPr>
          <w:rFonts w:ascii="Arial" w:eastAsia="Times New Roman" w:hAnsi="Arial" w:cs="Arial"/>
        </w:rPr>
        <w:tab/>
        <w:t xml:space="preserve">Regular national updates regarding funding and policy guidance </w:t>
      </w:r>
    </w:p>
    <w:p w14:paraId="506A9B65" w14:textId="60291FFF" w:rsidR="008C3839" w:rsidRPr="008C3839" w:rsidRDefault="00C74ED5" w:rsidP="008C3839">
      <w:pPr>
        <w:spacing w:before="100" w:beforeAutospacing="1" w:after="100" w:afterAutospacing="1" w:line="240" w:lineRule="auto"/>
        <w:rPr>
          <w:rFonts w:ascii="Arial" w:eastAsia="Times New Roman" w:hAnsi="Arial" w:cs="Arial"/>
        </w:rPr>
      </w:pPr>
      <w:r w:rsidRPr="00C74ED5">
        <w:rPr>
          <w:rFonts w:ascii="Arial" w:eastAsia="Times New Roman" w:hAnsi="Arial" w:cs="Arial"/>
        </w:rPr>
        <w:t>The college will also promote sharing of good practice across the partnership and help improve delivery to our customers. Monthly action points will be corresponded to the sub contract partner to cover performance, payments, and quality assurance matters. Regular review meetings will be conducted to cover the action points monitoring.</w:t>
      </w:r>
    </w:p>
    <w:p w14:paraId="458D206C" w14:textId="4D8DFBBA" w:rsidR="008C3839" w:rsidRPr="008C3839" w:rsidRDefault="008C3839" w:rsidP="008C3839">
      <w:pPr>
        <w:spacing w:before="100" w:beforeAutospacing="1" w:after="100" w:afterAutospacing="1" w:line="240" w:lineRule="auto"/>
        <w:rPr>
          <w:rFonts w:ascii="Arial" w:eastAsia="Times New Roman" w:hAnsi="Arial" w:cs="Arial"/>
        </w:rPr>
      </w:pPr>
      <w:r w:rsidRPr="008C3839">
        <w:rPr>
          <w:rFonts w:ascii="Arial" w:eastAsia="Times New Roman" w:hAnsi="Arial" w:cs="Arial"/>
        </w:rPr>
        <w:t xml:space="preserve">Not all subcontractors are charged the same management fee, differences in fees are dependent upon the level of support required, the experience of the subcontractor, their target learners; their track record, published success rates and the level of risk as determined by the due diligence process.  </w:t>
      </w:r>
      <w:r>
        <w:rPr>
          <w:rFonts w:ascii="Arial" w:eastAsia="Times New Roman" w:hAnsi="Arial" w:cs="Arial"/>
        </w:rPr>
        <w:t xml:space="preserve">The </w:t>
      </w:r>
      <w:r w:rsidR="00C74ED5">
        <w:rPr>
          <w:rFonts w:ascii="Arial" w:eastAsia="Times New Roman" w:hAnsi="Arial" w:cs="Arial"/>
        </w:rPr>
        <w:t>specific</w:t>
      </w:r>
      <w:r>
        <w:rPr>
          <w:rFonts w:ascii="Arial" w:eastAsia="Times New Roman" w:hAnsi="Arial" w:cs="Arial"/>
        </w:rPr>
        <w:t xml:space="preserve"> level of support provided to the subcontractor and the </w:t>
      </w:r>
      <w:r w:rsidR="00C74ED5">
        <w:rPr>
          <w:rFonts w:ascii="Arial" w:eastAsia="Times New Roman" w:hAnsi="Arial" w:cs="Arial"/>
        </w:rPr>
        <w:t xml:space="preserve">associated costs </w:t>
      </w:r>
      <w:r w:rsidR="001F5886">
        <w:rPr>
          <w:rFonts w:ascii="Arial" w:eastAsia="Times New Roman" w:hAnsi="Arial" w:cs="Arial"/>
        </w:rPr>
        <w:t>are</w:t>
      </w:r>
      <w:r w:rsidR="00C74ED5">
        <w:rPr>
          <w:rFonts w:ascii="Arial" w:eastAsia="Times New Roman" w:hAnsi="Arial" w:cs="Arial"/>
        </w:rPr>
        <w:t xml:space="preserve"> detailed in the individual contracts.</w:t>
      </w:r>
    </w:p>
    <w:p w14:paraId="54769DEE" w14:textId="6595A87F" w:rsidR="008C3839" w:rsidRDefault="008C3839" w:rsidP="00386B27">
      <w:pPr>
        <w:spacing w:before="100" w:beforeAutospacing="1" w:after="100" w:afterAutospacing="1" w:line="240" w:lineRule="auto"/>
        <w:rPr>
          <w:rFonts w:ascii="Arial" w:eastAsia="Times New Roman" w:hAnsi="Arial" w:cs="Arial"/>
          <w:b/>
        </w:rPr>
      </w:pPr>
    </w:p>
    <w:p w14:paraId="396E05B3" w14:textId="693DFEF3" w:rsidR="008C3839" w:rsidRPr="008C3839" w:rsidRDefault="00C74ED5" w:rsidP="00386B27">
      <w:pPr>
        <w:spacing w:before="100" w:beforeAutospacing="1" w:after="100" w:afterAutospacing="1" w:line="240" w:lineRule="auto"/>
        <w:rPr>
          <w:rFonts w:ascii="Arial" w:eastAsia="Times New Roman" w:hAnsi="Arial" w:cs="Arial"/>
          <w:b/>
        </w:rPr>
      </w:pPr>
      <w:r>
        <w:rPr>
          <w:rFonts w:ascii="Arial" w:eastAsia="Times New Roman" w:hAnsi="Arial" w:cs="Arial"/>
          <w:b/>
        </w:rPr>
        <w:t>Payment terms</w:t>
      </w:r>
    </w:p>
    <w:p w14:paraId="510CA91C" w14:textId="77777777" w:rsidR="00017A73" w:rsidRPr="00D664FE" w:rsidRDefault="00386B27" w:rsidP="00C74ED5">
      <w:pPr>
        <w:spacing w:before="100" w:beforeAutospacing="1" w:after="100" w:afterAutospacing="1" w:line="240" w:lineRule="auto"/>
        <w:rPr>
          <w:rFonts w:ascii="Arial" w:eastAsia="Times New Roman" w:hAnsi="Arial" w:cs="Arial"/>
        </w:rPr>
      </w:pPr>
      <w:r w:rsidRPr="00386B27">
        <w:rPr>
          <w:rFonts w:ascii="Arial" w:eastAsia="Times New Roman" w:hAnsi="Arial" w:cs="Arial"/>
        </w:rPr>
        <w:t>Payment terms between the college and subcontractors will be detailed in the agreement but will not exceed 30 days following receiving the approved invoice from the sub contract partner.</w:t>
      </w:r>
    </w:p>
    <w:p w14:paraId="510CA91D" w14:textId="7640F7A6" w:rsidR="00017A73" w:rsidRDefault="00017A73">
      <w:pPr>
        <w:rPr>
          <w:rFonts w:ascii="Arial" w:hAnsi="Arial" w:cs="Arial"/>
          <w:b/>
        </w:rPr>
      </w:pPr>
    </w:p>
    <w:p w14:paraId="35698375" w14:textId="72ECB97A" w:rsidR="009E0992" w:rsidRDefault="008C3839">
      <w:pPr>
        <w:rPr>
          <w:rFonts w:ascii="Arial" w:hAnsi="Arial" w:cs="Arial"/>
          <w:b/>
        </w:rPr>
      </w:pPr>
      <w:r>
        <w:rPr>
          <w:rFonts w:ascii="Arial" w:hAnsi="Arial" w:cs="Arial"/>
          <w:b/>
        </w:rPr>
        <w:t>Policy Review</w:t>
      </w:r>
    </w:p>
    <w:p w14:paraId="7E946491" w14:textId="402BDE97" w:rsidR="008C3839" w:rsidRPr="008C3839" w:rsidRDefault="008C3839">
      <w:pPr>
        <w:rPr>
          <w:rFonts w:ascii="Arial" w:hAnsi="Arial" w:cs="Arial"/>
        </w:rPr>
      </w:pPr>
      <w:r w:rsidRPr="008C3839">
        <w:rPr>
          <w:rFonts w:ascii="Arial" w:hAnsi="Arial" w:cs="Arial"/>
        </w:rPr>
        <w:t>The policy will be reviewed</w:t>
      </w:r>
      <w:r>
        <w:rPr>
          <w:rFonts w:ascii="Arial" w:hAnsi="Arial" w:cs="Arial"/>
        </w:rPr>
        <w:t xml:space="preserve"> as required by circumstances but at least annually.</w:t>
      </w:r>
    </w:p>
    <w:p w14:paraId="1A3F5732" w14:textId="77777777" w:rsidR="000A7876" w:rsidRDefault="000A7876">
      <w:pPr>
        <w:rPr>
          <w:rFonts w:ascii="Arial" w:hAnsi="Arial" w:cs="Arial"/>
        </w:rPr>
        <w:sectPr w:rsidR="000A7876" w:rsidSect="002A45A2">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567" w:gutter="0"/>
          <w:cols w:space="708"/>
          <w:docGrid w:linePitch="360"/>
        </w:sectPr>
      </w:pPr>
    </w:p>
    <w:p w14:paraId="4B218174" w14:textId="1AC76FDE" w:rsidR="000A7876" w:rsidRPr="000A7876" w:rsidRDefault="000A7876" w:rsidP="000A7876">
      <w:pPr>
        <w:rPr>
          <w:rFonts w:ascii="Verdana" w:hAnsi="Verdana"/>
          <w:b/>
          <w:sz w:val="20"/>
          <w:szCs w:val="20"/>
        </w:rPr>
      </w:pPr>
      <w:r w:rsidRPr="000A7876">
        <w:rPr>
          <w:rFonts w:ascii="Verdana" w:hAnsi="Verdana"/>
          <w:b/>
          <w:sz w:val="20"/>
          <w:szCs w:val="20"/>
        </w:rPr>
        <w:lastRenderedPageBreak/>
        <w:t xml:space="preserve">Herefordshire, Ludlow &amp; North Shropshire College Sub-contracted provision </w:t>
      </w:r>
    </w:p>
    <w:p w14:paraId="5F701947" w14:textId="77777777" w:rsidR="000A7876" w:rsidRDefault="000A7876" w:rsidP="000A7876">
      <w:pPr>
        <w:pStyle w:val="ListParagraph"/>
        <w:ind w:firstLine="0"/>
        <w:rPr>
          <w:rFonts w:ascii="Verdana" w:hAnsi="Verdana"/>
          <w:sz w:val="20"/>
          <w:szCs w:val="20"/>
        </w:rPr>
      </w:pPr>
    </w:p>
    <w:p w14:paraId="6A86A656" w14:textId="77777777" w:rsidR="000A7876" w:rsidRDefault="000A7876" w:rsidP="000A7876">
      <w:pPr>
        <w:pStyle w:val="ListParagraph"/>
        <w:ind w:firstLine="0"/>
        <w:rPr>
          <w:rFonts w:ascii="Verdana" w:hAnsi="Verdana"/>
          <w:sz w:val="20"/>
          <w:szCs w:val="20"/>
        </w:rPr>
      </w:pPr>
      <w:bookmarkStart w:id="2" w:name="_Hlk44930546"/>
    </w:p>
    <w:tbl>
      <w:tblPr>
        <w:tblStyle w:val="TableGrid"/>
        <w:tblW w:w="0" w:type="auto"/>
        <w:tblInd w:w="827" w:type="dxa"/>
        <w:tblLook w:val="04A0" w:firstRow="1" w:lastRow="0" w:firstColumn="1" w:lastColumn="0" w:noHBand="0" w:noVBand="1"/>
      </w:tblPr>
      <w:tblGrid>
        <w:gridCol w:w="2243"/>
        <w:gridCol w:w="1733"/>
        <w:gridCol w:w="1733"/>
        <w:gridCol w:w="1733"/>
        <w:gridCol w:w="1733"/>
        <w:gridCol w:w="1733"/>
        <w:gridCol w:w="1733"/>
        <w:gridCol w:w="1733"/>
      </w:tblGrid>
      <w:tr w:rsidR="000A7876" w:rsidRPr="006E299C" w14:paraId="7BB7151C" w14:textId="77777777" w:rsidTr="00837A18">
        <w:tc>
          <w:tcPr>
            <w:tcW w:w="2243" w:type="dxa"/>
          </w:tcPr>
          <w:p w14:paraId="4AA82083" w14:textId="77777777" w:rsidR="000A7876" w:rsidRPr="006E299C" w:rsidRDefault="000A7876" w:rsidP="00A84674">
            <w:pPr>
              <w:rPr>
                <w:b/>
              </w:rPr>
            </w:pPr>
            <w:r w:rsidRPr="006E299C">
              <w:rPr>
                <w:b/>
              </w:rPr>
              <w:t xml:space="preserve">Sub-contractor name </w:t>
            </w:r>
          </w:p>
        </w:tc>
        <w:tc>
          <w:tcPr>
            <w:tcW w:w="1733" w:type="dxa"/>
          </w:tcPr>
          <w:p w14:paraId="2EF41151" w14:textId="77777777" w:rsidR="000A7876" w:rsidRPr="006E299C" w:rsidRDefault="000A7876" w:rsidP="00A84674">
            <w:pPr>
              <w:rPr>
                <w:b/>
              </w:rPr>
            </w:pPr>
            <w:r w:rsidRPr="006E299C">
              <w:rPr>
                <w:b/>
              </w:rPr>
              <w:t xml:space="preserve">UKPRN of Sub-contractor </w:t>
            </w:r>
          </w:p>
        </w:tc>
        <w:tc>
          <w:tcPr>
            <w:tcW w:w="1733" w:type="dxa"/>
          </w:tcPr>
          <w:p w14:paraId="64490E17" w14:textId="77777777" w:rsidR="000A7876" w:rsidRPr="006E299C" w:rsidRDefault="000A7876" w:rsidP="00A84674">
            <w:pPr>
              <w:rPr>
                <w:b/>
              </w:rPr>
            </w:pPr>
            <w:r w:rsidRPr="006E299C">
              <w:rPr>
                <w:b/>
              </w:rPr>
              <w:t>Contract start date</w:t>
            </w:r>
          </w:p>
        </w:tc>
        <w:tc>
          <w:tcPr>
            <w:tcW w:w="1733" w:type="dxa"/>
          </w:tcPr>
          <w:p w14:paraId="61AE7500" w14:textId="77777777" w:rsidR="000A7876" w:rsidRPr="006E299C" w:rsidRDefault="000A7876" w:rsidP="00A84674">
            <w:pPr>
              <w:rPr>
                <w:b/>
              </w:rPr>
            </w:pPr>
            <w:r w:rsidRPr="006E299C">
              <w:rPr>
                <w:b/>
              </w:rPr>
              <w:t>Contract end date</w:t>
            </w:r>
          </w:p>
        </w:tc>
        <w:tc>
          <w:tcPr>
            <w:tcW w:w="1733" w:type="dxa"/>
          </w:tcPr>
          <w:p w14:paraId="7CCB695F" w14:textId="77777777" w:rsidR="000A7876" w:rsidRPr="006E299C" w:rsidRDefault="000A7876" w:rsidP="00A84674">
            <w:pPr>
              <w:rPr>
                <w:b/>
              </w:rPr>
            </w:pPr>
            <w:r w:rsidRPr="006E299C">
              <w:rPr>
                <w:b/>
              </w:rPr>
              <w:t xml:space="preserve">Type of provision </w:t>
            </w:r>
          </w:p>
        </w:tc>
        <w:tc>
          <w:tcPr>
            <w:tcW w:w="1733" w:type="dxa"/>
          </w:tcPr>
          <w:p w14:paraId="229662B1" w14:textId="77777777" w:rsidR="000A7876" w:rsidRPr="006E299C" w:rsidRDefault="000A7876" w:rsidP="00A84674">
            <w:pPr>
              <w:rPr>
                <w:b/>
              </w:rPr>
            </w:pPr>
            <w:r w:rsidRPr="006E299C">
              <w:rPr>
                <w:b/>
              </w:rPr>
              <w:t>Funding paid by SFA in relation to provision delivered by sub-contractor on an annual basis</w:t>
            </w:r>
          </w:p>
          <w:p w14:paraId="7E54D978" w14:textId="77777777" w:rsidR="000A7876" w:rsidRPr="006E299C" w:rsidRDefault="000A7876" w:rsidP="00A84674">
            <w:pPr>
              <w:jc w:val="center"/>
              <w:rPr>
                <w:b/>
              </w:rPr>
            </w:pPr>
            <w:r w:rsidRPr="006E299C">
              <w:rPr>
                <w:b/>
              </w:rPr>
              <w:t>£</w:t>
            </w:r>
          </w:p>
        </w:tc>
        <w:tc>
          <w:tcPr>
            <w:tcW w:w="1733" w:type="dxa"/>
          </w:tcPr>
          <w:p w14:paraId="1827C124" w14:textId="77777777" w:rsidR="000A7876" w:rsidRPr="006E299C" w:rsidRDefault="000A7876" w:rsidP="00A84674">
            <w:pPr>
              <w:rPr>
                <w:b/>
              </w:rPr>
            </w:pPr>
            <w:r w:rsidRPr="006E299C">
              <w:rPr>
                <w:b/>
              </w:rPr>
              <w:t>Funding paid to sub-contractor</w:t>
            </w:r>
          </w:p>
          <w:p w14:paraId="48292EF6" w14:textId="77777777" w:rsidR="000A7876" w:rsidRPr="006E299C" w:rsidRDefault="000A7876" w:rsidP="00A84674">
            <w:pPr>
              <w:rPr>
                <w:b/>
              </w:rPr>
            </w:pPr>
          </w:p>
          <w:p w14:paraId="6EFB65A3" w14:textId="77777777" w:rsidR="000A7876" w:rsidRPr="006E299C" w:rsidRDefault="000A7876" w:rsidP="00A84674">
            <w:pPr>
              <w:rPr>
                <w:b/>
              </w:rPr>
            </w:pPr>
          </w:p>
          <w:p w14:paraId="3D7708FD" w14:textId="77777777" w:rsidR="000A7876" w:rsidRPr="006E299C" w:rsidRDefault="000A7876" w:rsidP="00A84674">
            <w:pPr>
              <w:rPr>
                <w:b/>
              </w:rPr>
            </w:pPr>
          </w:p>
          <w:p w14:paraId="416F8E90" w14:textId="77777777" w:rsidR="00AF2634" w:rsidRDefault="00AF2634" w:rsidP="00A84674">
            <w:pPr>
              <w:jc w:val="center"/>
              <w:rPr>
                <w:b/>
              </w:rPr>
            </w:pPr>
          </w:p>
          <w:p w14:paraId="40FC01D9" w14:textId="77777777" w:rsidR="00AF2634" w:rsidRDefault="00AF2634" w:rsidP="00A84674">
            <w:pPr>
              <w:jc w:val="center"/>
              <w:rPr>
                <w:b/>
              </w:rPr>
            </w:pPr>
          </w:p>
          <w:p w14:paraId="1AA0A59C" w14:textId="6FBD01D3" w:rsidR="000A7876" w:rsidRPr="006E299C" w:rsidRDefault="000A7876" w:rsidP="00A84674">
            <w:pPr>
              <w:jc w:val="center"/>
              <w:rPr>
                <w:b/>
              </w:rPr>
            </w:pPr>
            <w:r w:rsidRPr="006E299C">
              <w:rPr>
                <w:b/>
              </w:rPr>
              <w:t>£</w:t>
            </w:r>
          </w:p>
        </w:tc>
        <w:tc>
          <w:tcPr>
            <w:tcW w:w="1733" w:type="dxa"/>
          </w:tcPr>
          <w:p w14:paraId="1FFE0107" w14:textId="77777777" w:rsidR="000A7876" w:rsidRPr="006E299C" w:rsidRDefault="000A7876" w:rsidP="00A84674">
            <w:pPr>
              <w:rPr>
                <w:b/>
              </w:rPr>
            </w:pPr>
            <w:r w:rsidRPr="006E299C">
              <w:rPr>
                <w:b/>
              </w:rPr>
              <w:t xml:space="preserve">Funding retained by the College </w:t>
            </w:r>
          </w:p>
          <w:p w14:paraId="6E7A3B96" w14:textId="77777777" w:rsidR="000A7876" w:rsidRPr="006E299C" w:rsidRDefault="000A7876" w:rsidP="00A84674">
            <w:pPr>
              <w:rPr>
                <w:b/>
              </w:rPr>
            </w:pPr>
          </w:p>
          <w:p w14:paraId="624CE5B9" w14:textId="77777777" w:rsidR="000A7876" w:rsidRPr="006E299C" w:rsidRDefault="000A7876" w:rsidP="00A84674">
            <w:pPr>
              <w:rPr>
                <w:b/>
              </w:rPr>
            </w:pPr>
          </w:p>
          <w:p w14:paraId="3B15CA57" w14:textId="77777777" w:rsidR="000A7876" w:rsidRPr="006E299C" w:rsidRDefault="000A7876" w:rsidP="00A84674">
            <w:pPr>
              <w:rPr>
                <w:b/>
              </w:rPr>
            </w:pPr>
          </w:p>
          <w:p w14:paraId="0A06F1F3" w14:textId="77777777" w:rsidR="00AF2634" w:rsidRDefault="00AF2634" w:rsidP="00A84674">
            <w:pPr>
              <w:jc w:val="center"/>
              <w:rPr>
                <w:b/>
              </w:rPr>
            </w:pPr>
          </w:p>
          <w:p w14:paraId="4E00472B" w14:textId="1EDFC7F6" w:rsidR="000A7876" w:rsidRPr="006E299C" w:rsidRDefault="000A7876" w:rsidP="00A84674">
            <w:pPr>
              <w:jc w:val="center"/>
              <w:rPr>
                <w:b/>
              </w:rPr>
            </w:pPr>
            <w:r w:rsidRPr="006E299C">
              <w:rPr>
                <w:b/>
              </w:rPr>
              <w:t>£</w:t>
            </w:r>
          </w:p>
        </w:tc>
      </w:tr>
      <w:tr w:rsidR="001F47D7" w:rsidRPr="006E299C" w14:paraId="7976B585" w14:textId="77777777" w:rsidTr="00837A18">
        <w:tc>
          <w:tcPr>
            <w:tcW w:w="2243" w:type="dxa"/>
          </w:tcPr>
          <w:p w14:paraId="446EAEB2" w14:textId="77777777" w:rsidR="001F47D7" w:rsidRDefault="001F47D7" w:rsidP="00A242E4"/>
        </w:tc>
        <w:tc>
          <w:tcPr>
            <w:tcW w:w="1733" w:type="dxa"/>
          </w:tcPr>
          <w:p w14:paraId="6530B635" w14:textId="77777777" w:rsidR="001F47D7" w:rsidRPr="00795683" w:rsidRDefault="001F47D7" w:rsidP="00A242E4"/>
        </w:tc>
        <w:tc>
          <w:tcPr>
            <w:tcW w:w="1733" w:type="dxa"/>
          </w:tcPr>
          <w:p w14:paraId="18CAFD67" w14:textId="77777777" w:rsidR="001F47D7" w:rsidRPr="006E299C" w:rsidRDefault="001F47D7" w:rsidP="00A242E4"/>
        </w:tc>
        <w:tc>
          <w:tcPr>
            <w:tcW w:w="1733" w:type="dxa"/>
          </w:tcPr>
          <w:p w14:paraId="3E680C58" w14:textId="77777777" w:rsidR="001F47D7" w:rsidRPr="006E299C" w:rsidRDefault="001F47D7" w:rsidP="00A242E4"/>
        </w:tc>
        <w:tc>
          <w:tcPr>
            <w:tcW w:w="1733" w:type="dxa"/>
          </w:tcPr>
          <w:p w14:paraId="38AE6117" w14:textId="77777777" w:rsidR="001F47D7" w:rsidRDefault="001F47D7" w:rsidP="00A242E4"/>
        </w:tc>
        <w:tc>
          <w:tcPr>
            <w:tcW w:w="1733" w:type="dxa"/>
          </w:tcPr>
          <w:p w14:paraId="14CF7006" w14:textId="77777777" w:rsidR="001F47D7" w:rsidRPr="006E299C" w:rsidRDefault="001F47D7" w:rsidP="00A242E4">
            <w:pPr>
              <w:jc w:val="center"/>
            </w:pPr>
          </w:p>
        </w:tc>
        <w:tc>
          <w:tcPr>
            <w:tcW w:w="1733" w:type="dxa"/>
          </w:tcPr>
          <w:p w14:paraId="75094049" w14:textId="77777777" w:rsidR="001F47D7" w:rsidRPr="006E299C" w:rsidRDefault="001F47D7" w:rsidP="00A242E4">
            <w:pPr>
              <w:jc w:val="center"/>
            </w:pPr>
          </w:p>
        </w:tc>
        <w:tc>
          <w:tcPr>
            <w:tcW w:w="1733" w:type="dxa"/>
          </w:tcPr>
          <w:p w14:paraId="7EF433DE" w14:textId="77777777" w:rsidR="001F47D7" w:rsidRPr="006E299C" w:rsidRDefault="001F47D7" w:rsidP="00A242E4">
            <w:pPr>
              <w:jc w:val="center"/>
            </w:pPr>
          </w:p>
        </w:tc>
      </w:tr>
      <w:tr w:rsidR="001F47D7" w:rsidRPr="006E299C" w14:paraId="6BF676E0" w14:textId="77777777" w:rsidTr="00630C72">
        <w:tc>
          <w:tcPr>
            <w:tcW w:w="2243" w:type="dxa"/>
          </w:tcPr>
          <w:p w14:paraId="0943683D" w14:textId="77777777" w:rsidR="001F47D7" w:rsidRDefault="001F47D7" w:rsidP="00630C72">
            <w:r>
              <w:t>The Skills Network Ltd</w:t>
            </w:r>
          </w:p>
        </w:tc>
        <w:tc>
          <w:tcPr>
            <w:tcW w:w="1733" w:type="dxa"/>
          </w:tcPr>
          <w:p w14:paraId="7A02AF38" w14:textId="77777777" w:rsidR="001F47D7" w:rsidRPr="00795683" w:rsidRDefault="001F47D7" w:rsidP="00630C72">
            <w:r w:rsidRPr="00795683">
              <w:t>100</w:t>
            </w:r>
            <w:r>
              <w:t>29308</w:t>
            </w:r>
          </w:p>
        </w:tc>
        <w:tc>
          <w:tcPr>
            <w:tcW w:w="1733" w:type="dxa"/>
          </w:tcPr>
          <w:p w14:paraId="5408E6FC" w14:textId="76DAFB44" w:rsidR="001F47D7" w:rsidRPr="006E299C" w:rsidRDefault="001F47D7" w:rsidP="00630C72">
            <w:r w:rsidRPr="006E299C">
              <w:t>1</w:t>
            </w:r>
            <w:r w:rsidRPr="006E299C">
              <w:rPr>
                <w:vertAlign w:val="superscript"/>
              </w:rPr>
              <w:t>st</w:t>
            </w:r>
            <w:r w:rsidRPr="006E299C">
              <w:t xml:space="preserve"> August 20</w:t>
            </w:r>
            <w:r>
              <w:t>21</w:t>
            </w:r>
          </w:p>
        </w:tc>
        <w:tc>
          <w:tcPr>
            <w:tcW w:w="1733" w:type="dxa"/>
          </w:tcPr>
          <w:p w14:paraId="74924442" w14:textId="267E5315" w:rsidR="001F47D7" w:rsidRPr="006E299C" w:rsidRDefault="001F47D7" w:rsidP="00630C72">
            <w:r w:rsidRPr="006E299C">
              <w:t>31</w:t>
            </w:r>
            <w:r w:rsidRPr="006E299C">
              <w:rPr>
                <w:vertAlign w:val="superscript"/>
              </w:rPr>
              <w:t>st</w:t>
            </w:r>
            <w:r w:rsidRPr="006E299C">
              <w:t xml:space="preserve"> July 20</w:t>
            </w:r>
            <w:r>
              <w:t>22</w:t>
            </w:r>
          </w:p>
        </w:tc>
        <w:tc>
          <w:tcPr>
            <w:tcW w:w="1733" w:type="dxa"/>
          </w:tcPr>
          <w:p w14:paraId="2A519BB4" w14:textId="77777777" w:rsidR="001F47D7" w:rsidRDefault="001F47D7" w:rsidP="00630C72">
            <w:r>
              <w:t xml:space="preserve">AEB </w:t>
            </w:r>
            <w:r w:rsidRPr="00795683">
              <w:t>Classroom</w:t>
            </w:r>
          </w:p>
        </w:tc>
        <w:tc>
          <w:tcPr>
            <w:tcW w:w="1733" w:type="dxa"/>
          </w:tcPr>
          <w:p w14:paraId="17CF0875" w14:textId="25FBDE97" w:rsidR="001F47D7" w:rsidRPr="006E299C" w:rsidRDefault="001F47D7" w:rsidP="00630C72">
            <w:pPr>
              <w:jc w:val="center"/>
            </w:pPr>
            <w:r w:rsidRPr="006E299C">
              <w:t>Maximum of £</w:t>
            </w:r>
            <w:r w:rsidR="008B3939">
              <w:t>950</w:t>
            </w:r>
            <w:r w:rsidRPr="006E299C">
              <w:t>,000</w:t>
            </w:r>
          </w:p>
        </w:tc>
        <w:tc>
          <w:tcPr>
            <w:tcW w:w="1733" w:type="dxa"/>
          </w:tcPr>
          <w:p w14:paraId="7C842F97" w14:textId="7EE5D2ED" w:rsidR="001F47D7" w:rsidRPr="006E299C" w:rsidRDefault="001F47D7" w:rsidP="00630C72">
            <w:pPr>
              <w:jc w:val="center"/>
            </w:pPr>
            <w:r w:rsidRPr="006E299C">
              <w:t>Maximum of £</w:t>
            </w:r>
            <w:r w:rsidR="008B3939">
              <w:t>760</w:t>
            </w:r>
            <w:r>
              <w:t>,</w:t>
            </w:r>
            <w:r w:rsidR="00414EE0">
              <w:t>0</w:t>
            </w:r>
            <w:r>
              <w:t>00</w:t>
            </w:r>
          </w:p>
        </w:tc>
        <w:tc>
          <w:tcPr>
            <w:tcW w:w="1733" w:type="dxa"/>
          </w:tcPr>
          <w:p w14:paraId="7622B1CF" w14:textId="152EFDD8" w:rsidR="001F47D7" w:rsidRDefault="001F47D7" w:rsidP="00630C72">
            <w:pPr>
              <w:jc w:val="center"/>
            </w:pPr>
            <w:r w:rsidRPr="006E299C">
              <w:t>Maximum of £</w:t>
            </w:r>
            <w:r w:rsidR="008B3939">
              <w:t>190</w:t>
            </w:r>
            <w:r>
              <w:t>,</w:t>
            </w:r>
            <w:r w:rsidR="00414EE0">
              <w:t>0</w:t>
            </w:r>
            <w:r>
              <w:t>00</w:t>
            </w:r>
          </w:p>
          <w:p w14:paraId="2C0C3914" w14:textId="77777777" w:rsidR="001F47D7" w:rsidRPr="006E299C" w:rsidRDefault="001F47D7" w:rsidP="00630C72">
            <w:pPr>
              <w:jc w:val="center"/>
            </w:pPr>
          </w:p>
        </w:tc>
      </w:tr>
      <w:tr w:rsidR="001F47D7" w:rsidRPr="006E299C" w14:paraId="7CC57FCD" w14:textId="77777777" w:rsidTr="00837A18">
        <w:tc>
          <w:tcPr>
            <w:tcW w:w="2243" w:type="dxa"/>
          </w:tcPr>
          <w:p w14:paraId="5B97DB2B" w14:textId="693B5B92" w:rsidR="001F47D7" w:rsidRDefault="001F47D7" w:rsidP="00A242E4">
            <w:r>
              <w:t>`</w:t>
            </w:r>
          </w:p>
        </w:tc>
        <w:tc>
          <w:tcPr>
            <w:tcW w:w="1733" w:type="dxa"/>
          </w:tcPr>
          <w:p w14:paraId="6BBFEBB1" w14:textId="77777777" w:rsidR="001F47D7" w:rsidRPr="00795683" w:rsidRDefault="001F47D7" w:rsidP="00A242E4"/>
        </w:tc>
        <w:tc>
          <w:tcPr>
            <w:tcW w:w="1733" w:type="dxa"/>
          </w:tcPr>
          <w:p w14:paraId="3CC1D4CB" w14:textId="77777777" w:rsidR="001F47D7" w:rsidRPr="006E299C" w:rsidRDefault="001F47D7" w:rsidP="00A242E4"/>
        </w:tc>
        <w:tc>
          <w:tcPr>
            <w:tcW w:w="1733" w:type="dxa"/>
          </w:tcPr>
          <w:p w14:paraId="730D545F" w14:textId="77777777" w:rsidR="001F47D7" w:rsidRPr="006E299C" w:rsidRDefault="001F47D7" w:rsidP="00A242E4"/>
        </w:tc>
        <w:tc>
          <w:tcPr>
            <w:tcW w:w="1733" w:type="dxa"/>
          </w:tcPr>
          <w:p w14:paraId="616ABE8A" w14:textId="77777777" w:rsidR="001F47D7" w:rsidRDefault="001F47D7" w:rsidP="00A242E4"/>
        </w:tc>
        <w:tc>
          <w:tcPr>
            <w:tcW w:w="1733" w:type="dxa"/>
          </w:tcPr>
          <w:p w14:paraId="571CA20D" w14:textId="77777777" w:rsidR="001F47D7" w:rsidRPr="006E299C" w:rsidRDefault="001F47D7" w:rsidP="00A242E4">
            <w:pPr>
              <w:jc w:val="center"/>
            </w:pPr>
          </w:p>
        </w:tc>
        <w:tc>
          <w:tcPr>
            <w:tcW w:w="1733" w:type="dxa"/>
          </w:tcPr>
          <w:p w14:paraId="0081B879" w14:textId="77777777" w:rsidR="001F47D7" w:rsidRPr="006E299C" w:rsidRDefault="001F47D7" w:rsidP="00A242E4">
            <w:pPr>
              <w:jc w:val="center"/>
            </w:pPr>
          </w:p>
        </w:tc>
        <w:tc>
          <w:tcPr>
            <w:tcW w:w="1733" w:type="dxa"/>
          </w:tcPr>
          <w:p w14:paraId="0B8EB514" w14:textId="77777777" w:rsidR="001F47D7" w:rsidRPr="006E299C" w:rsidRDefault="001F47D7" w:rsidP="00A242E4">
            <w:pPr>
              <w:jc w:val="center"/>
            </w:pPr>
          </w:p>
        </w:tc>
      </w:tr>
      <w:tr w:rsidR="00A242E4" w:rsidRPr="006E299C" w14:paraId="76516F93" w14:textId="77777777" w:rsidTr="00837A18">
        <w:tc>
          <w:tcPr>
            <w:tcW w:w="2243" w:type="dxa"/>
          </w:tcPr>
          <w:p w14:paraId="5CC94549" w14:textId="2C6B40A6" w:rsidR="00A242E4" w:rsidRDefault="00A242E4" w:rsidP="00A242E4">
            <w:bookmarkStart w:id="3" w:name="_Hlk87433939"/>
            <w:r>
              <w:t>The Skills Network Ltd</w:t>
            </w:r>
          </w:p>
        </w:tc>
        <w:tc>
          <w:tcPr>
            <w:tcW w:w="1733" w:type="dxa"/>
          </w:tcPr>
          <w:p w14:paraId="3073DE95" w14:textId="299BE4B7" w:rsidR="00A242E4" w:rsidRPr="00795683" w:rsidRDefault="00A242E4" w:rsidP="00A242E4">
            <w:r w:rsidRPr="00795683">
              <w:t>100</w:t>
            </w:r>
            <w:r>
              <w:t>29308</w:t>
            </w:r>
          </w:p>
        </w:tc>
        <w:tc>
          <w:tcPr>
            <w:tcW w:w="1733" w:type="dxa"/>
          </w:tcPr>
          <w:p w14:paraId="682EC488" w14:textId="31D474A5" w:rsidR="00A242E4" w:rsidRPr="006E299C" w:rsidRDefault="00A242E4" w:rsidP="00A242E4">
            <w:r w:rsidRPr="006E299C">
              <w:t>1</w:t>
            </w:r>
            <w:r w:rsidRPr="006E299C">
              <w:rPr>
                <w:vertAlign w:val="superscript"/>
              </w:rPr>
              <w:t>st</w:t>
            </w:r>
            <w:r w:rsidRPr="006E299C">
              <w:t xml:space="preserve"> August 20</w:t>
            </w:r>
            <w:r>
              <w:t>20</w:t>
            </w:r>
          </w:p>
        </w:tc>
        <w:tc>
          <w:tcPr>
            <w:tcW w:w="1733" w:type="dxa"/>
          </w:tcPr>
          <w:p w14:paraId="65367D68" w14:textId="0E5BC4C2" w:rsidR="00A242E4" w:rsidRPr="006E299C" w:rsidRDefault="00A242E4" w:rsidP="00A242E4">
            <w:r w:rsidRPr="006E299C">
              <w:t>31</w:t>
            </w:r>
            <w:r w:rsidRPr="006E299C">
              <w:rPr>
                <w:vertAlign w:val="superscript"/>
              </w:rPr>
              <w:t>st</w:t>
            </w:r>
            <w:r w:rsidRPr="006E299C">
              <w:t xml:space="preserve"> July 20</w:t>
            </w:r>
            <w:r>
              <w:t>21</w:t>
            </w:r>
          </w:p>
        </w:tc>
        <w:tc>
          <w:tcPr>
            <w:tcW w:w="1733" w:type="dxa"/>
          </w:tcPr>
          <w:p w14:paraId="7675DD1D" w14:textId="3AE36C55" w:rsidR="00A242E4" w:rsidRDefault="00A242E4" w:rsidP="00A242E4">
            <w:r>
              <w:t xml:space="preserve">AEB </w:t>
            </w:r>
            <w:r w:rsidRPr="00795683">
              <w:t>Classroom</w:t>
            </w:r>
          </w:p>
        </w:tc>
        <w:tc>
          <w:tcPr>
            <w:tcW w:w="1733" w:type="dxa"/>
          </w:tcPr>
          <w:p w14:paraId="2C27479A" w14:textId="77777777" w:rsidR="00A242E4" w:rsidRDefault="00A242E4" w:rsidP="00A242E4">
            <w:pPr>
              <w:jc w:val="center"/>
            </w:pPr>
            <w:r w:rsidRPr="006E299C">
              <w:t>£</w:t>
            </w:r>
            <w:r w:rsidR="001F47D7">
              <w:t>799,875</w:t>
            </w:r>
          </w:p>
          <w:p w14:paraId="22B095AD" w14:textId="5F43191D" w:rsidR="001F47D7" w:rsidRPr="006E299C" w:rsidRDefault="001F47D7" w:rsidP="00A242E4">
            <w:pPr>
              <w:jc w:val="center"/>
            </w:pPr>
          </w:p>
        </w:tc>
        <w:tc>
          <w:tcPr>
            <w:tcW w:w="1733" w:type="dxa"/>
          </w:tcPr>
          <w:p w14:paraId="6B6AD64D" w14:textId="79C5B0F9" w:rsidR="00A242E4" w:rsidRPr="006E299C" w:rsidRDefault="00A242E4" w:rsidP="00A242E4">
            <w:pPr>
              <w:jc w:val="center"/>
            </w:pPr>
            <w:r w:rsidRPr="006E299C">
              <w:t>£</w:t>
            </w:r>
            <w:r w:rsidR="001F47D7">
              <w:t>583</w:t>
            </w:r>
            <w:r>
              <w:t>,</w:t>
            </w:r>
            <w:r w:rsidR="001F47D7">
              <w:t>909</w:t>
            </w:r>
          </w:p>
        </w:tc>
        <w:tc>
          <w:tcPr>
            <w:tcW w:w="1733" w:type="dxa"/>
          </w:tcPr>
          <w:p w14:paraId="6756D9AF" w14:textId="115D801B" w:rsidR="00A242E4" w:rsidRDefault="00A242E4" w:rsidP="00A242E4">
            <w:pPr>
              <w:jc w:val="center"/>
            </w:pPr>
            <w:r w:rsidRPr="006E299C">
              <w:t>£</w:t>
            </w:r>
            <w:r>
              <w:t>2</w:t>
            </w:r>
            <w:r w:rsidR="001F47D7">
              <w:t>1</w:t>
            </w:r>
            <w:r>
              <w:t>5,</w:t>
            </w:r>
            <w:r w:rsidR="001F47D7">
              <w:t>966</w:t>
            </w:r>
          </w:p>
          <w:p w14:paraId="4B0836D1" w14:textId="77777777" w:rsidR="001F47D7" w:rsidRDefault="001F47D7" w:rsidP="00A242E4">
            <w:pPr>
              <w:jc w:val="center"/>
            </w:pPr>
          </w:p>
          <w:p w14:paraId="7CAC3A9C" w14:textId="77777777" w:rsidR="00A242E4" w:rsidRPr="006E299C" w:rsidRDefault="00A242E4" w:rsidP="00A242E4">
            <w:pPr>
              <w:jc w:val="center"/>
            </w:pPr>
          </w:p>
        </w:tc>
      </w:tr>
      <w:bookmarkEnd w:id="3"/>
      <w:tr w:rsidR="00A242E4" w:rsidRPr="006E299C" w14:paraId="315D0CAD" w14:textId="77777777" w:rsidTr="00837A18">
        <w:tc>
          <w:tcPr>
            <w:tcW w:w="2243" w:type="dxa"/>
          </w:tcPr>
          <w:p w14:paraId="5553FD0F" w14:textId="77777777" w:rsidR="00A242E4" w:rsidRDefault="00A242E4" w:rsidP="00A242E4"/>
        </w:tc>
        <w:tc>
          <w:tcPr>
            <w:tcW w:w="1733" w:type="dxa"/>
          </w:tcPr>
          <w:p w14:paraId="122000DE" w14:textId="77777777" w:rsidR="00A242E4" w:rsidRPr="00795683" w:rsidRDefault="00A242E4" w:rsidP="00A242E4"/>
        </w:tc>
        <w:tc>
          <w:tcPr>
            <w:tcW w:w="1733" w:type="dxa"/>
          </w:tcPr>
          <w:p w14:paraId="70CE0502" w14:textId="77777777" w:rsidR="00A242E4" w:rsidRPr="006E299C" w:rsidRDefault="00A242E4" w:rsidP="00A242E4"/>
        </w:tc>
        <w:tc>
          <w:tcPr>
            <w:tcW w:w="1733" w:type="dxa"/>
          </w:tcPr>
          <w:p w14:paraId="2AA31F0E" w14:textId="77777777" w:rsidR="00A242E4" w:rsidRPr="006E299C" w:rsidRDefault="00A242E4" w:rsidP="00A242E4"/>
        </w:tc>
        <w:tc>
          <w:tcPr>
            <w:tcW w:w="1733" w:type="dxa"/>
          </w:tcPr>
          <w:p w14:paraId="4EEB2358" w14:textId="77777777" w:rsidR="00A242E4" w:rsidRDefault="00A242E4" w:rsidP="00A242E4"/>
        </w:tc>
        <w:tc>
          <w:tcPr>
            <w:tcW w:w="1733" w:type="dxa"/>
          </w:tcPr>
          <w:p w14:paraId="2DB7B6D8" w14:textId="77777777" w:rsidR="00A242E4" w:rsidRPr="006E299C" w:rsidRDefault="00A242E4" w:rsidP="00A242E4">
            <w:pPr>
              <w:jc w:val="center"/>
            </w:pPr>
          </w:p>
        </w:tc>
        <w:tc>
          <w:tcPr>
            <w:tcW w:w="1733" w:type="dxa"/>
          </w:tcPr>
          <w:p w14:paraId="7BEE4811" w14:textId="77777777" w:rsidR="00A242E4" w:rsidRPr="006E299C" w:rsidRDefault="00A242E4" w:rsidP="00A242E4">
            <w:pPr>
              <w:jc w:val="center"/>
            </w:pPr>
          </w:p>
        </w:tc>
        <w:tc>
          <w:tcPr>
            <w:tcW w:w="1733" w:type="dxa"/>
          </w:tcPr>
          <w:p w14:paraId="7F4FBEF0" w14:textId="77777777" w:rsidR="00A242E4" w:rsidRPr="006E299C" w:rsidRDefault="00A242E4" w:rsidP="00A242E4">
            <w:pPr>
              <w:jc w:val="center"/>
            </w:pPr>
          </w:p>
        </w:tc>
      </w:tr>
      <w:tr w:rsidR="00A242E4" w:rsidRPr="006E299C" w14:paraId="487F2A44" w14:textId="77777777" w:rsidTr="00837A18">
        <w:tc>
          <w:tcPr>
            <w:tcW w:w="2243" w:type="dxa"/>
          </w:tcPr>
          <w:p w14:paraId="39B1C0DE" w14:textId="247B9F01" w:rsidR="00A242E4" w:rsidRPr="00795683" w:rsidRDefault="00A242E4" w:rsidP="00A242E4">
            <w:bookmarkStart w:id="4" w:name="_Hlk44926544"/>
            <w:bookmarkEnd w:id="2"/>
            <w:r>
              <w:t>The Skills Network Ltd</w:t>
            </w:r>
          </w:p>
        </w:tc>
        <w:tc>
          <w:tcPr>
            <w:tcW w:w="1733" w:type="dxa"/>
          </w:tcPr>
          <w:p w14:paraId="7340DB7D" w14:textId="3B0B6213" w:rsidR="00A242E4" w:rsidRPr="00795683" w:rsidRDefault="00A242E4" w:rsidP="00A242E4">
            <w:r w:rsidRPr="00795683">
              <w:t>100</w:t>
            </w:r>
            <w:r>
              <w:t>29308</w:t>
            </w:r>
          </w:p>
        </w:tc>
        <w:tc>
          <w:tcPr>
            <w:tcW w:w="1733" w:type="dxa"/>
          </w:tcPr>
          <w:p w14:paraId="1A313842" w14:textId="52E50923" w:rsidR="00A242E4" w:rsidRPr="006E299C" w:rsidRDefault="00A242E4" w:rsidP="00A242E4">
            <w:r w:rsidRPr="006E299C">
              <w:t>1</w:t>
            </w:r>
            <w:r w:rsidRPr="006E299C">
              <w:rPr>
                <w:vertAlign w:val="superscript"/>
              </w:rPr>
              <w:t>st</w:t>
            </w:r>
            <w:r w:rsidRPr="006E299C">
              <w:t xml:space="preserve"> August 201</w:t>
            </w:r>
            <w:r>
              <w:t>9</w:t>
            </w:r>
          </w:p>
        </w:tc>
        <w:tc>
          <w:tcPr>
            <w:tcW w:w="1733" w:type="dxa"/>
          </w:tcPr>
          <w:p w14:paraId="6D47FA8A" w14:textId="61F63C4D" w:rsidR="00A242E4" w:rsidRPr="006E299C" w:rsidRDefault="00A242E4" w:rsidP="00A242E4">
            <w:r w:rsidRPr="006E299C">
              <w:t>31</w:t>
            </w:r>
            <w:r w:rsidRPr="006E299C">
              <w:rPr>
                <w:vertAlign w:val="superscript"/>
              </w:rPr>
              <w:t>st</w:t>
            </w:r>
            <w:r w:rsidRPr="006E299C">
              <w:t xml:space="preserve"> July 20</w:t>
            </w:r>
            <w:r>
              <w:t>20</w:t>
            </w:r>
          </w:p>
        </w:tc>
        <w:tc>
          <w:tcPr>
            <w:tcW w:w="1733" w:type="dxa"/>
          </w:tcPr>
          <w:p w14:paraId="7D6373AB" w14:textId="38E0806C" w:rsidR="00A242E4" w:rsidRPr="00795683" w:rsidRDefault="00A242E4" w:rsidP="00A242E4">
            <w:r>
              <w:t xml:space="preserve">AEB </w:t>
            </w:r>
            <w:r w:rsidRPr="00795683">
              <w:t>Classroom</w:t>
            </w:r>
          </w:p>
        </w:tc>
        <w:tc>
          <w:tcPr>
            <w:tcW w:w="1733" w:type="dxa"/>
          </w:tcPr>
          <w:p w14:paraId="6B596AEB" w14:textId="5A1A491F" w:rsidR="00A242E4" w:rsidRPr="006E299C" w:rsidRDefault="00A242E4" w:rsidP="00192123">
            <w:pPr>
              <w:jc w:val="center"/>
            </w:pPr>
            <w:r w:rsidRPr="006E299C">
              <w:t>£</w:t>
            </w:r>
            <w:r>
              <w:t>9</w:t>
            </w:r>
            <w:r w:rsidR="00192123">
              <w:t>47</w:t>
            </w:r>
            <w:r w:rsidRPr="006E299C">
              <w:t>,</w:t>
            </w:r>
            <w:r w:rsidR="00192123">
              <w:t>886</w:t>
            </w:r>
          </w:p>
        </w:tc>
        <w:tc>
          <w:tcPr>
            <w:tcW w:w="1733" w:type="dxa"/>
          </w:tcPr>
          <w:p w14:paraId="6067A6B1" w14:textId="62CDB22E" w:rsidR="00A242E4" w:rsidRPr="006E299C" w:rsidRDefault="00A242E4" w:rsidP="00A242E4">
            <w:pPr>
              <w:jc w:val="center"/>
            </w:pPr>
            <w:r w:rsidRPr="006E299C">
              <w:t>£</w:t>
            </w:r>
            <w:r>
              <w:t>69</w:t>
            </w:r>
            <w:r w:rsidR="00192123">
              <w:t>1</w:t>
            </w:r>
            <w:r>
              <w:t>,</w:t>
            </w:r>
            <w:r w:rsidR="00192123">
              <w:t>9</w:t>
            </w:r>
            <w:r>
              <w:t>5</w:t>
            </w:r>
            <w:r w:rsidR="00192123">
              <w:t>7</w:t>
            </w:r>
          </w:p>
        </w:tc>
        <w:tc>
          <w:tcPr>
            <w:tcW w:w="1733" w:type="dxa"/>
          </w:tcPr>
          <w:p w14:paraId="0372AEBE" w14:textId="52F57D59" w:rsidR="00A242E4" w:rsidRDefault="00192123" w:rsidP="00A242E4">
            <w:pPr>
              <w:jc w:val="center"/>
            </w:pPr>
            <w:r>
              <w:t>£2</w:t>
            </w:r>
            <w:r w:rsidR="00A242E4">
              <w:t>5</w:t>
            </w:r>
            <w:r>
              <w:t>5</w:t>
            </w:r>
            <w:r w:rsidR="00A242E4">
              <w:t>,</w:t>
            </w:r>
            <w:r>
              <w:t>929</w:t>
            </w:r>
          </w:p>
          <w:p w14:paraId="61A66BB7" w14:textId="77777777" w:rsidR="00A242E4" w:rsidRPr="006E299C" w:rsidRDefault="00A242E4" w:rsidP="00A242E4">
            <w:pPr>
              <w:jc w:val="center"/>
            </w:pPr>
          </w:p>
        </w:tc>
      </w:tr>
      <w:tr w:rsidR="00A242E4" w:rsidRPr="006E299C" w14:paraId="247E1846" w14:textId="77777777" w:rsidTr="00837A18">
        <w:tc>
          <w:tcPr>
            <w:tcW w:w="2243" w:type="dxa"/>
          </w:tcPr>
          <w:p w14:paraId="518543ED" w14:textId="1FA5F616" w:rsidR="00A242E4" w:rsidRPr="00795683" w:rsidRDefault="00A242E4" w:rsidP="00A242E4">
            <w:bookmarkStart w:id="5" w:name="_Hlk43998200"/>
            <w:bookmarkEnd w:id="4"/>
            <w:r>
              <w:t>Shropshire Football Association Ltd</w:t>
            </w:r>
          </w:p>
        </w:tc>
        <w:tc>
          <w:tcPr>
            <w:tcW w:w="1733" w:type="dxa"/>
          </w:tcPr>
          <w:p w14:paraId="008BB10B" w14:textId="1A3B89DA" w:rsidR="00A242E4" w:rsidRPr="00795683" w:rsidRDefault="00A242E4" w:rsidP="00A242E4">
            <w:r>
              <w:t>10031846</w:t>
            </w:r>
          </w:p>
        </w:tc>
        <w:tc>
          <w:tcPr>
            <w:tcW w:w="1733" w:type="dxa"/>
          </w:tcPr>
          <w:p w14:paraId="0A13B397" w14:textId="048184FA" w:rsidR="00A242E4" w:rsidRPr="006E299C" w:rsidRDefault="00A242E4" w:rsidP="00A242E4">
            <w:r w:rsidRPr="006E299C">
              <w:t>1</w:t>
            </w:r>
            <w:r w:rsidRPr="006E299C">
              <w:rPr>
                <w:vertAlign w:val="superscript"/>
              </w:rPr>
              <w:t>st</w:t>
            </w:r>
            <w:r w:rsidRPr="006E299C">
              <w:t xml:space="preserve"> August 201</w:t>
            </w:r>
            <w:r>
              <w:t>9</w:t>
            </w:r>
          </w:p>
        </w:tc>
        <w:tc>
          <w:tcPr>
            <w:tcW w:w="1733" w:type="dxa"/>
          </w:tcPr>
          <w:p w14:paraId="30DD4B00" w14:textId="51FCCFEF" w:rsidR="00A242E4" w:rsidRPr="006E299C" w:rsidRDefault="00A242E4" w:rsidP="00A242E4">
            <w:r w:rsidRPr="006E299C">
              <w:t>31</w:t>
            </w:r>
            <w:r w:rsidRPr="006E299C">
              <w:rPr>
                <w:vertAlign w:val="superscript"/>
              </w:rPr>
              <w:t>st</w:t>
            </w:r>
            <w:r w:rsidRPr="006E299C">
              <w:t xml:space="preserve"> July 20</w:t>
            </w:r>
            <w:r>
              <w:t>20</w:t>
            </w:r>
          </w:p>
        </w:tc>
        <w:tc>
          <w:tcPr>
            <w:tcW w:w="1733" w:type="dxa"/>
          </w:tcPr>
          <w:p w14:paraId="3493053F" w14:textId="780A6D26" w:rsidR="00A242E4" w:rsidRPr="00795683" w:rsidRDefault="00A242E4" w:rsidP="00A242E4">
            <w:r>
              <w:t xml:space="preserve">AEB </w:t>
            </w:r>
            <w:r w:rsidRPr="00795683">
              <w:t>Classroom</w:t>
            </w:r>
          </w:p>
        </w:tc>
        <w:tc>
          <w:tcPr>
            <w:tcW w:w="1733" w:type="dxa"/>
          </w:tcPr>
          <w:p w14:paraId="073D139A" w14:textId="011ADDA9" w:rsidR="00A242E4" w:rsidRPr="006E299C" w:rsidRDefault="00A242E4" w:rsidP="00A242E4">
            <w:pPr>
              <w:jc w:val="center"/>
              <w:rPr>
                <w:b/>
              </w:rPr>
            </w:pPr>
            <w:r w:rsidRPr="006E299C">
              <w:t>£</w:t>
            </w:r>
            <w:r w:rsidR="00192123">
              <w:t>2</w:t>
            </w:r>
            <w:r>
              <w:t>0,</w:t>
            </w:r>
            <w:r w:rsidR="00192123">
              <w:t>737</w:t>
            </w:r>
          </w:p>
        </w:tc>
        <w:tc>
          <w:tcPr>
            <w:tcW w:w="1733" w:type="dxa"/>
          </w:tcPr>
          <w:p w14:paraId="4D259E46" w14:textId="559114B1" w:rsidR="00A242E4" w:rsidRPr="006E299C" w:rsidRDefault="00A242E4" w:rsidP="00A242E4">
            <w:pPr>
              <w:jc w:val="center"/>
              <w:rPr>
                <w:b/>
              </w:rPr>
            </w:pPr>
            <w:r w:rsidRPr="006E299C">
              <w:t xml:space="preserve"> £</w:t>
            </w:r>
            <w:r w:rsidR="00192123">
              <w:t>14</w:t>
            </w:r>
            <w:r>
              <w:t>,</w:t>
            </w:r>
            <w:r w:rsidR="00192123">
              <w:t>516</w:t>
            </w:r>
          </w:p>
        </w:tc>
        <w:tc>
          <w:tcPr>
            <w:tcW w:w="1733" w:type="dxa"/>
          </w:tcPr>
          <w:p w14:paraId="3735C2C7" w14:textId="760BDA1F" w:rsidR="00A242E4" w:rsidRPr="006E299C" w:rsidRDefault="00A242E4" w:rsidP="00A242E4">
            <w:pPr>
              <w:jc w:val="center"/>
              <w:rPr>
                <w:b/>
              </w:rPr>
            </w:pPr>
            <w:r w:rsidRPr="006E299C">
              <w:t>£</w:t>
            </w:r>
            <w:r w:rsidR="00192123">
              <w:t>6</w:t>
            </w:r>
            <w:r>
              <w:t>,</w:t>
            </w:r>
            <w:r w:rsidR="00192123">
              <w:t>221</w:t>
            </w:r>
          </w:p>
        </w:tc>
      </w:tr>
      <w:bookmarkEnd w:id="5"/>
      <w:tr w:rsidR="00A242E4" w:rsidRPr="006E299C" w14:paraId="4B7A5F53" w14:textId="77777777" w:rsidTr="00837A18">
        <w:tc>
          <w:tcPr>
            <w:tcW w:w="2243" w:type="dxa"/>
          </w:tcPr>
          <w:p w14:paraId="1475EFF4" w14:textId="77777777" w:rsidR="00A242E4" w:rsidRPr="00795683" w:rsidRDefault="00A242E4" w:rsidP="00A242E4">
            <w:pPr>
              <w:rPr>
                <w:rFonts w:ascii="Calibri" w:eastAsia="Times New Roman" w:hAnsi="Calibri" w:cs="Times New Roman"/>
              </w:rPr>
            </w:pPr>
          </w:p>
        </w:tc>
        <w:tc>
          <w:tcPr>
            <w:tcW w:w="1733" w:type="dxa"/>
          </w:tcPr>
          <w:p w14:paraId="0B8311CD" w14:textId="77777777" w:rsidR="00A242E4" w:rsidRPr="006E299C" w:rsidRDefault="00A242E4" w:rsidP="00A242E4">
            <w:pPr>
              <w:rPr>
                <w:b/>
              </w:rPr>
            </w:pPr>
          </w:p>
        </w:tc>
        <w:tc>
          <w:tcPr>
            <w:tcW w:w="1733" w:type="dxa"/>
          </w:tcPr>
          <w:p w14:paraId="3E4E94C1" w14:textId="77777777" w:rsidR="00A242E4" w:rsidRPr="006E299C" w:rsidRDefault="00A242E4" w:rsidP="00A242E4">
            <w:pPr>
              <w:rPr>
                <w:b/>
              </w:rPr>
            </w:pPr>
          </w:p>
        </w:tc>
        <w:tc>
          <w:tcPr>
            <w:tcW w:w="1733" w:type="dxa"/>
          </w:tcPr>
          <w:p w14:paraId="67AD7B30" w14:textId="77777777" w:rsidR="00A242E4" w:rsidRPr="006E299C" w:rsidRDefault="00A242E4" w:rsidP="00A242E4">
            <w:pPr>
              <w:rPr>
                <w:b/>
              </w:rPr>
            </w:pPr>
          </w:p>
        </w:tc>
        <w:tc>
          <w:tcPr>
            <w:tcW w:w="1733" w:type="dxa"/>
          </w:tcPr>
          <w:p w14:paraId="055BE0CB" w14:textId="77777777" w:rsidR="00A242E4" w:rsidRPr="006E299C" w:rsidRDefault="00A242E4" w:rsidP="00A242E4">
            <w:pPr>
              <w:rPr>
                <w:b/>
              </w:rPr>
            </w:pPr>
          </w:p>
        </w:tc>
        <w:tc>
          <w:tcPr>
            <w:tcW w:w="1733" w:type="dxa"/>
          </w:tcPr>
          <w:p w14:paraId="30CB84FE" w14:textId="77777777" w:rsidR="00A242E4" w:rsidRPr="006E299C" w:rsidRDefault="00A242E4" w:rsidP="00A242E4">
            <w:pPr>
              <w:rPr>
                <w:b/>
              </w:rPr>
            </w:pPr>
          </w:p>
        </w:tc>
        <w:tc>
          <w:tcPr>
            <w:tcW w:w="1733" w:type="dxa"/>
          </w:tcPr>
          <w:p w14:paraId="0AB9D56D" w14:textId="77777777" w:rsidR="00A242E4" w:rsidRPr="006E299C" w:rsidRDefault="00A242E4" w:rsidP="00A242E4">
            <w:pPr>
              <w:rPr>
                <w:b/>
              </w:rPr>
            </w:pPr>
          </w:p>
        </w:tc>
        <w:tc>
          <w:tcPr>
            <w:tcW w:w="1733" w:type="dxa"/>
          </w:tcPr>
          <w:p w14:paraId="163D5F36" w14:textId="77777777" w:rsidR="00A242E4" w:rsidRPr="006E299C" w:rsidRDefault="00A242E4" w:rsidP="00A242E4">
            <w:pPr>
              <w:rPr>
                <w:b/>
              </w:rPr>
            </w:pPr>
          </w:p>
        </w:tc>
      </w:tr>
      <w:tr w:rsidR="00A242E4" w:rsidRPr="006E299C" w14:paraId="0D3DCE27" w14:textId="77777777" w:rsidTr="00837A18">
        <w:tc>
          <w:tcPr>
            <w:tcW w:w="2243" w:type="dxa"/>
          </w:tcPr>
          <w:p w14:paraId="628D7271" w14:textId="77777777" w:rsidR="00A242E4" w:rsidRPr="00795683" w:rsidRDefault="00A242E4" w:rsidP="00A242E4">
            <w:pPr>
              <w:rPr>
                <w:rFonts w:ascii="Calibri" w:eastAsia="Times New Roman" w:hAnsi="Calibri" w:cs="Times New Roman"/>
              </w:rPr>
            </w:pPr>
          </w:p>
        </w:tc>
        <w:tc>
          <w:tcPr>
            <w:tcW w:w="1733" w:type="dxa"/>
          </w:tcPr>
          <w:p w14:paraId="676C43D3" w14:textId="77777777" w:rsidR="00A242E4" w:rsidRPr="006E299C" w:rsidRDefault="00A242E4" w:rsidP="00A242E4">
            <w:pPr>
              <w:rPr>
                <w:b/>
              </w:rPr>
            </w:pPr>
          </w:p>
        </w:tc>
        <w:tc>
          <w:tcPr>
            <w:tcW w:w="1733" w:type="dxa"/>
          </w:tcPr>
          <w:p w14:paraId="3F72E047" w14:textId="77777777" w:rsidR="00A242E4" w:rsidRPr="006E299C" w:rsidRDefault="00A242E4" w:rsidP="00A242E4">
            <w:pPr>
              <w:rPr>
                <w:b/>
              </w:rPr>
            </w:pPr>
          </w:p>
        </w:tc>
        <w:tc>
          <w:tcPr>
            <w:tcW w:w="1733" w:type="dxa"/>
          </w:tcPr>
          <w:p w14:paraId="3512C97A" w14:textId="77777777" w:rsidR="00A242E4" w:rsidRPr="006E299C" w:rsidRDefault="00A242E4" w:rsidP="00A242E4">
            <w:pPr>
              <w:rPr>
                <w:b/>
              </w:rPr>
            </w:pPr>
          </w:p>
        </w:tc>
        <w:tc>
          <w:tcPr>
            <w:tcW w:w="1733" w:type="dxa"/>
          </w:tcPr>
          <w:p w14:paraId="2CC82450" w14:textId="77777777" w:rsidR="00A242E4" w:rsidRPr="006E299C" w:rsidRDefault="00A242E4" w:rsidP="00A242E4">
            <w:pPr>
              <w:rPr>
                <w:b/>
              </w:rPr>
            </w:pPr>
          </w:p>
        </w:tc>
        <w:tc>
          <w:tcPr>
            <w:tcW w:w="1733" w:type="dxa"/>
          </w:tcPr>
          <w:p w14:paraId="1525E67C" w14:textId="77777777" w:rsidR="00A242E4" w:rsidRPr="006E299C" w:rsidRDefault="00A242E4" w:rsidP="00A242E4">
            <w:pPr>
              <w:rPr>
                <w:b/>
              </w:rPr>
            </w:pPr>
          </w:p>
        </w:tc>
        <w:tc>
          <w:tcPr>
            <w:tcW w:w="1733" w:type="dxa"/>
          </w:tcPr>
          <w:p w14:paraId="6A07D938" w14:textId="77777777" w:rsidR="00A242E4" w:rsidRPr="006E299C" w:rsidRDefault="00A242E4" w:rsidP="00A242E4">
            <w:pPr>
              <w:rPr>
                <w:b/>
              </w:rPr>
            </w:pPr>
          </w:p>
        </w:tc>
        <w:tc>
          <w:tcPr>
            <w:tcW w:w="1733" w:type="dxa"/>
          </w:tcPr>
          <w:p w14:paraId="4A251FB2" w14:textId="77777777" w:rsidR="00A242E4" w:rsidRPr="006E299C" w:rsidRDefault="00A242E4" w:rsidP="00A242E4">
            <w:pPr>
              <w:rPr>
                <w:b/>
              </w:rPr>
            </w:pPr>
          </w:p>
        </w:tc>
      </w:tr>
    </w:tbl>
    <w:p w14:paraId="4E79869A" w14:textId="7485655A" w:rsidR="00632C94" w:rsidRDefault="00632C94">
      <w:pPr>
        <w:rPr>
          <w:rFonts w:ascii="Arial" w:hAnsi="Arial" w:cs="Arial"/>
          <w:b/>
        </w:rPr>
      </w:pPr>
    </w:p>
    <w:p w14:paraId="3C8E27C1" w14:textId="3497ECE8" w:rsidR="00087847" w:rsidRDefault="00087847">
      <w:pPr>
        <w:rPr>
          <w:rFonts w:ascii="Arial" w:hAnsi="Arial" w:cs="Arial"/>
          <w:b/>
        </w:rPr>
      </w:pPr>
    </w:p>
    <w:p w14:paraId="4368594C" w14:textId="15368A5C" w:rsidR="00087847" w:rsidRDefault="00087847">
      <w:pPr>
        <w:rPr>
          <w:rFonts w:ascii="Arial" w:hAnsi="Arial" w:cs="Arial"/>
          <w:b/>
        </w:rPr>
      </w:pPr>
    </w:p>
    <w:p w14:paraId="6866A56A" w14:textId="44E4C3FA" w:rsidR="00087847" w:rsidRDefault="00087847">
      <w:pPr>
        <w:rPr>
          <w:rFonts w:ascii="Arial" w:hAnsi="Arial" w:cs="Arial"/>
          <w:b/>
        </w:rPr>
      </w:pPr>
    </w:p>
    <w:p w14:paraId="173F19F3" w14:textId="6AD347BB" w:rsidR="00087847" w:rsidRDefault="00087847">
      <w:pPr>
        <w:rPr>
          <w:rFonts w:ascii="Arial" w:hAnsi="Arial" w:cs="Arial"/>
          <w:b/>
        </w:rPr>
      </w:pPr>
    </w:p>
    <w:p w14:paraId="4673C393" w14:textId="77777777" w:rsidR="00087847" w:rsidRPr="00087847" w:rsidRDefault="00087847">
      <w:pPr>
        <w:rPr>
          <w:rFonts w:ascii="Arial" w:hAnsi="Arial" w:cs="Arial"/>
          <w:b/>
        </w:rPr>
      </w:pPr>
    </w:p>
    <w:p w14:paraId="1F2DD81F" w14:textId="47E42DC5" w:rsidR="00632C94" w:rsidRPr="00087847" w:rsidRDefault="005C6733">
      <w:pPr>
        <w:rPr>
          <w:rFonts w:ascii="Arial" w:hAnsi="Arial" w:cs="Arial"/>
          <w:b/>
        </w:rPr>
      </w:pPr>
      <w:r>
        <w:rPr>
          <w:rFonts w:ascii="Arial" w:hAnsi="Arial" w:cs="Arial"/>
          <w:b/>
        </w:rPr>
        <w:lastRenderedPageBreak/>
        <w:t>Analysis</w:t>
      </w:r>
      <w:r w:rsidR="00087847" w:rsidRPr="00087847">
        <w:rPr>
          <w:rFonts w:ascii="Arial" w:hAnsi="Arial" w:cs="Arial"/>
          <w:b/>
        </w:rPr>
        <w:t xml:space="preserve"> of retained funding</w:t>
      </w:r>
      <w:r>
        <w:rPr>
          <w:rFonts w:ascii="Arial" w:hAnsi="Arial" w:cs="Arial"/>
          <w:b/>
        </w:rPr>
        <w:t xml:space="preserve"> for subcontracts with The Skills Network Ltd</w:t>
      </w:r>
    </w:p>
    <w:p w14:paraId="580FB332" w14:textId="6D5A64D8" w:rsidR="00087847" w:rsidRDefault="00087847">
      <w:pPr>
        <w:rPr>
          <w:rFonts w:ascii="Arial" w:hAnsi="Arial" w:cs="Arial"/>
        </w:rPr>
      </w:pPr>
    </w:p>
    <w:tbl>
      <w:tblPr>
        <w:tblStyle w:val="TableGrid"/>
        <w:tblW w:w="0" w:type="auto"/>
        <w:tblInd w:w="704" w:type="dxa"/>
        <w:tblLook w:val="04A0" w:firstRow="1" w:lastRow="0" w:firstColumn="1" w:lastColumn="0" w:noHBand="0" w:noVBand="1"/>
      </w:tblPr>
      <w:tblGrid>
        <w:gridCol w:w="8647"/>
        <w:gridCol w:w="2410"/>
        <w:gridCol w:w="850"/>
        <w:gridCol w:w="2552"/>
      </w:tblGrid>
      <w:tr w:rsidR="00087847" w14:paraId="49346C64" w14:textId="77777777" w:rsidTr="00DA05EE">
        <w:tc>
          <w:tcPr>
            <w:tcW w:w="8647" w:type="dxa"/>
          </w:tcPr>
          <w:p w14:paraId="47C80C2E" w14:textId="2A3145C7" w:rsidR="00087847" w:rsidRDefault="00087847">
            <w:pPr>
              <w:rPr>
                <w:rFonts w:ascii="Arial" w:hAnsi="Arial" w:cs="Arial"/>
              </w:rPr>
            </w:pPr>
          </w:p>
        </w:tc>
        <w:tc>
          <w:tcPr>
            <w:tcW w:w="2410" w:type="dxa"/>
          </w:tcPr>
          <w:p w14:paraId="60881621" w14:textId="77F433DB" w:rsidR="00087847" w:rsidRPr="00DA05EE" w:rsidRDefault="005C6733" w:rsidP="00DA05EE">
            <w:pPr>
              <w:jc w:val="center"/>
              <w:rPr>
                <w:rFonts w:ascii="Arial" w:hAnsi="Arial" w:cs="Arial"/>
                <w:b/>
              </w:rPr>
            </w:pPr>
            <w:r w:rsidRPr="00DA05EE">
              <w:rPr>
                <w:rFonts w:ascii="Arial" w:hAnsi="Arial" w:cs="Arial"/>
                <w:b/>
              </w:rPr>
              <w:t>1</w:t>
            </w:r>
            <w:r w:rsidRPr="00DA05EE">
              <w:rPr>
                <w:rFonts w:ascii="Arial" w:hAnsi="Arial" w:cs="Arial"/>
                <w:b/>
                <w:vertAlign w:val="superscript"/>
              </w:rPr>
              <w:t>st</w:t>
            </w:r>
            <w:r w:rsidRPr="00DA05EE">
              <w:rPr>
                <w:rFonts w:ascii="Arial" w:hAnsi="Arial" w:cs="Arial"/>
                <w:b/>
              </w:rPr>
              <w:t xml:space="preserve"> August 2021 to 31</w:t>
            </w:r>
            <w:r w:rsidRPr="00DA05EE">
              <w:rPr>
                <w:rFonts w:ascii="Arial" w:hAnsi="Arial" w:cs="Arial"/>
                <w:b/>
                <w:vertAlign w:val="superscript"/>
              </w:rPr>
              <w:t>st</w:t>
            </w:r>
            <w:r w:rsidRPr="00DA05EE">
              <w:rPr>
                <w:rFonts w:ascii="Arial" w:hAnsi="Arial" w:cs="Arial"/>
                <w:b/>
              </w:rPr>
              <w:t xml:space="preserve"> July 2022</w:t>
            </w:r>
          </w:p>
        </w:tc>
        <w:tc>
          <w:tcPr>
            <w:tcW w:w="850" w:type="dxa"/>
          </w:tcPr>
          <w:p w14:paraId="5FC5CC86" w14:textId="77777777" w:rsidR="00087847" w:rsidRPr="00DA05EE" w:rsidRDefault="00087847">
            <w:pPr>
              <w:rPr>
                <w:rFonts w:ascii="Arial" w:hAnsi="Arial" w:cs="Arial"/>
                <w:b/>
              </w:rPr>
            </w:pPr>
          </w:p>
        </w:tc>
        <w:tc>
          <w:tcPr>
            <w:tcW w:w="2552" w:type="dxa"/>
          </w:tcPr>
          <w:p w14:paraId="42441708" w14:textId="7607E990" w:rsidR="00087847" w:rsidRPr="00DA05EE" w:rsidRDefault="005C6733" w:rsidP="00DA05EE">
            <w:pPr>
              <w:jc w:val="center"/>
              <w:rPr>
                <w:rFonts w:ascii="Arial" w:hAnsi="Arial" w:cs="Arial"/>
                <w:b/>
              </w:rPr>
            </w:pPr>
            <w:r w:rsidRPr="00DA05EE">
              <w:rPr>
                <w:rFonts w:ascii="Arial" w:hAnsi="Arial" w:cs="Arial"/>
                <w:b/>
              </w:rPr>
              <w:t>1st August 2020 to 31st July 2021</w:t>
            </w:r>
          </w:p>
        </w:tc>
      </w:tr>
      <w:tr w:rsidR="00DA05EE" w14:paraId="32BF663D" w14:textId="77777777" w:rsidTr="00DA05EE">
        <w:tc>
          <w:tcPr>
            <w:tcW w:w="8647" w:type="dxa"/>
          </w:tcPr>
          <w:p w14:paraId="2472CB38" w14:textId="77777777" w:rsidR="00DA05EE" w:rsidRDefault="00DA05EE">
            <w:pPr>
              <w:rPr>
                <w:rFonts w:ascii="Arial" w:hAnsi="Arial" w:cs="Arial"/>
              </w:rPr>
            </w:pPr>
          </w:p>
        </w:tc>
        <w:tc>
          <w:tcPr>
            <w:tcW w:w="2410" w:type="dxa"/>
          </w:tcPr>
          <w:p w14:paraId="62EADFE2" w14:textId="5830F5CB" w:rsidR="00DA05EE" w:rsidRPr="00DA05EE" w:rsidRDefault="00DA05EE" w:rsidP="00DA05EE">
            <w:pPr>
              <w:jc w:val="center"/>
              <w:rPr>
                <w:rFonts w:ascii="Arial" w:hAnsi="Arial" w:cs="Arial"/>
                <w:b/>
              </w:rPr>
            </w:pPr>
            <w:r w:rsidRPr="00DA05EE">
              <w:rPr>
                <w:rFonts w:ascii="Arial" w:hAnsi="Arial" w:cs="Arial"/>
                <w:b/>
              </w:rPr>
              <w:t>Up to</w:t>
            </w:r>
          </w:p>
        </w:tc>
        <w:tc>
          <w:tcPr>
            <w:tcW w:w="850" w:type="dxa"/>
          </w:tcPr>
          <w:p w14:paraId="679BD84F" w14:textId="77777777" w:rsidR="00DA05EE" w:rsidRPr="00DA05EE" w:rsidRDefault="00DA05EE">
            <w:pPr>
              <w:rPr>
                <w:rFonts w:ascii="Arial" w:hAnsi="Arial" w:cs="Arial"/>
                <w:b/>
              </w:rPr>
            </w:pPr>
          </w:p>
        </w:tc>
        <w:tc>
          <w:tcPr>
            <w:tcW w:w="2552" w:type="dxa"/>
          </w:tcPr>
          <w:p w14:paraId="60C64E86" w14:textId="44F69637" w:rsidR="00DA05EE" w:rsidRPr="00DA05EE" w:rsidRDefault="00DA05EE" w:rsidP="00DA05EE">
            <w:pPr>
              <w:jc w:val="center"/>
              <w:rPr>
                <w:rFonts w:ascii="Arial" w:hAnsi="Arial" w:cs="Arial"/>
                <w:b/>
              </w:rPr>
            </w:pPr>
            <w:r w:rsidRPr="00DA05EE">
              <w:rPr>
                <w:rFonts w:ascii="Arial" w:hAnsi="Arial" w:cs="Arial"/>
                <w:b/>
              </w:rPr>
              <w:t>Actual</w:t>
            </w:r>
          </w:p>
        </w:tc>
      </w:tr>
      <w:tr w:rsidR="00DA05EE" w14:paraId="561A724A" w14:textId="77777777" w:rsidTr="00DA05EE">
        <w:tc>
          <w:tcPr>
            <w:tcW w:w="8647" w:type="dxa"/>
          </w:tcPr>
          <w:p w14:paraId="38C134F8" w14:textId="77777777" w:rsidR="00DA05EE" w:rsidRDefault="00DA05EE">
            <w:pPr>
              <w:rPr>
                <w:rFonts w:ascii="Arial" w:hAnsi="Arial" w:cs="Arial"/>
              </w:rPr>
            </w:pPr>
          </w:p>
        </w:tc>
        <w:tc>
          <w:tcPr>
            <w:tcW w:w="2410" w:type="dxa"/>
          </w:tcPr>
          <w:p w14:paraId="6719D2E0" w14:textId="3D7F1F1E" w:rsidR="00DA05EE" w:rsidRPr="00DA05EE" w:rsidRDefault="00DA05EE" w:rsidP="00DA05EE">
            <w:pPr>
              <w:jc w:val="center"/>
              <w:rPr>
                <w:rFonts w:ascii="Arial" w:hAnsi="Arial" w:cs="Arial"/>
                <w:b/>
              </w:rPr>
            </w:pPr>
          </w:p>
        </w:tc>
        <w:tc>
          <w:tcPr>
            <w:tcW w:w="850" w:type="dxa"/>
          </w:tcPr>
          <w:p w14:paraId="64BBD1D6" w14:textId="77777777" w:rsidR="00DA05EE" w:rsidRPr="00DA05EE" w:rsidRDefault="00DA05EE">
            <w:pPr>
              <w:rPr>
                <w:rFonts w:ascii="Arial" w:hAnsi="Arial" w:cs="Arial"/>
                <w:b/>
              </w:rPr>
            </w:pPr>
          </w:p>
        </w:tc>
        <w:tc>
          <w:tcPr>
            <w:tcW w:w="2552" w:type="dxa"/>
          </w:tcPr>
          <w:p w14:paraId="146DDF41" w14:textId="50D98841" w:rsidR="00DA05EE" w:rsidRPr="00DA05EE" w:rsidRDefault="00DA05EE" w:rsidP="00DA05EE">
            <w:pPr>
              <w:jc w:val="center"/>
              <w:rPr>
                <w:rFonts w:ascii="Arial" w:hAnsi="Arial" w:cs="Arial"/>
                <w:b/>
              </w:rPr>
            </w:pPr>
          </w:p>
        </w:tc>
      </w:tr>
      <w:tr w:rsidR="00087847" w14:paraId="18ECE312" w14:textId="77777777" w:rsidTr="00DA05EE">
        <w:tc>
          <w:tcPr>
            <w:tcW w:w="8647" w:type="dxa"/>
          </w:tcPr>
          <w:p w14:paraId="7B2F1409" w14:textId="017B15CA" w:rsidR="00087847" w:rsidRDefault="005C6733">
            <w:pPr>
              <w:rPr>
                <w:rFonts w:ascii="Arial" w:hAnsi="Arial" w:cs="Arial"/>
              </w:rPr>
            </w:pPr>
            <w:r>
              <w:rPr>
                <w:rFonts w:ascii="Arial" w:hAnsi="Arial" w:cs="Arial"/>
              </w:rPr>
              <w:t>Quality Management Systems</w:t>
            </w:r>
          </w:p>
        </w:tc>
        <w:tc>
          <w:tcPr>
            <w:tcW w:w="2410" w:type="dxa"/>
            <w:vAlign w:val="center"/>
          </w:tcPr>
          <w:p w14:paraId="5820AA0F" w14:textId="11906500" w:rsidR="00087847" w:rsidRDefault="00DA05EE" w:rsidP="00DA05EE">
            <w:pPr>
              <w:jc w:val="center"/>
              <w:rPr>
                <w:rFonts w:ascii="Arial" w:hAnsi="Arial" w:cs="Arial"/>
              </w:rPr>
            </w:pPr>
            <w:r>
              <w:rPr>
                <w:rFonts w:ascii="Arial" w:hAnsi="Arial" w:cs="Arial"/>
              </w:rPr>
              <w:t>£</w:t>
            </w:r>
            <w:r w:rsidR="00640858">
              <w:rPr>
                <w:rFonts w:ascii="Arial" w:hAnsi="Arial" w:cs="Arial"/>
              </w:rPr>
              <w:t>38</w:t>
            </w:r>
            <w:r>
              <w:rPr>
                <w:rFonts w:ascii="Arial" w:hAnsi="Arial" w:cs="Arial"/>
              </w:rPr>
              <w:t>,000</w:t>
            </w:r>
          </w:p>
        </w:tc>
        <w:tc>
          <w:tcPr>
            <w:tcW w:w="850" w:type="dxa"/>
            <w:vAlign w:val="center"/>
          </w:tcPr>
          <w:p w14:paraId="7828E6F9" w14:textId="77777777" w:rsidR="00087847" w:rsidRDefault="00087847" w:rsidP="00DA05EE">
            <w:pPr>
              <w:jc w:val="center"/>
              <w:rPr>
                <w:rFonts w:ascii="Arial" w:hAnsi="Arial" w:cs="Arial"/>
              </w:rPr>
            </w:pPr>
          </w:p>
        </w:tc>
        <w:tc>
          <w:tcPr>
            <w:tcW w:w="2552" w:type="dxa"/>
            <w:vAlign w:val="center"/>
          </w:tcPr>
          <w:p w14:paraId="5431E361" w14:textId="2F1B4327" w:rsidR="00087847" w:rsidRDefault="00DA05EE" w:rsidP="00DA05EE">
            <w:pPr>
              <w:jc w:val="center"/>
              <w:rPr>
                <w:rFonts w:ascii="Arial" w:hAnsi="Arial" w:cs="Arial"/>
              </w:rPr>
            </w:pPr>
            <w:r>
              <w:rPr>
                <w:rFonts w:ascii="Arial" w:hAnsi="Arial" w:cs="Arial"/>
              </w:rPr>
              <w:t>£39,994</w:t>
            </w:r>
          </w:p>
        </w:tc>
      </w:tr>
      <w:tr w:rsidR="00087847" w14:paraId="6FAF346D" w14:textId="77777777" w:rsidTr="00DA05EE">
        <w:tc>
          <w:tcPr>
            <w:tcW w:w="8647" w:type="dxa"/>
          </w:tcPr>
          <w:p w14:paraId="43F2B3E0" w14:textId="31EBBF49" w:rsidR="00087847" w:rsidRDefault="005C6733">
            <w:pPr>
              <w:rPr>
                <w:rFonts w:ascii="Arial" w:hAnsi="Arial" w:cs="Arial"/>
              </w:rPr>
            </w:pPr>
            <w:r w:rsidRPr="005C6733">
              <w:rPr>
                <w:rFonts w:ascii="Arial" w:hAnsi="Arial" w:cs="Arial"/>
              </w:rPr>
              <w:t>Management Information Services and data control advice</w:t>
            </w:r>
          </w:p>
        </w:tc>
        <w:tc>
          <w:tcPr>
            <w:tcW w:w="2410" w:type="dxa"/>
            <w:vAlign w:val="center"/>
          </w:tcPr>
          <w:p w14:paraId="50EB7450" w14:textId="0572C91B" w:rsidR="00087847" w:rsidRDefault="00DA05EE" w:rsidP="00DA05EE">
            <w:pPr>
              <w:jc w:val="center"/>
              <w:rPr>
                <w:rFonts w:ascii="Arial" w:hAnsi="Arial" w:cs="Arial"/>
              </w:rPr>
            </w:pPr>
            <w:r>
              <w:rPr>
                <w:rFonts w:ascii="Arial" w:hAnsi="Arial" w:cs="Arial"/>
              </w:rPr>
              <w:t>£</w:t>
            </w:r>
            <w:r w:rsidR="00B71CCA">
              <w:rPr>
                <w:rFonts w:ascii="Arial" w:hAnsi="Arial" w:cs="Arial"/>
              </w:rPr>
              <w:t>66</w:t>
            </w:r>
            <w:r>
              <w:rPr>
                <w:rFonts w:ascii="Arial" w:hAnsi="Arial" w:cs="Arial"/>
              </w:rPr>
              <w:t>,</w:t>
            </w:r>
            <w:r w:rsidR="00B71CCA">
              <w:rPr>
                <w:rFonts w:ascii="Arial" w:hAnsi="Arial" w:cs="Arial"/>
              </w:rPr>
              <w:t>5</w:t>
            </w:r>
            <w:r>
              <w:rPr>
                <w:rFonts w:ascii="Arial" w:hAnsi="Arial" w:cs="Arial"/>
              </w:rPr>
              <w:t>00</w:t>
            </w:r>
          </w:p>
        </w:tc>
        <w:tc>
          <w:tcPr>
            <w:tcW w:w="850" w:type="dxa"/>
            <w:vAlign w:val="center"/>
          </w:tcPr>
          <w:p w14:paraId="73D9F607" w14:textId="77777777" w:rsidR="00087847" w:rsidRDefault="00087847" w:rsidP="00DA05EE">
            <w:pPr>
              <w:jc w:val="center"/>
              <w:rPr>
                <w:rFonts w:ascii="Arial" w:hAnsi="Arial" w:cs="Arial"/>
              </w:rPr>
            </w:pPr>
          </w:p>
        </w:tc>
        <w:tc>
          <w:tcPr>
            <w:tcW w:w="2552" w:type="dxa"/>
            <w:vAlign w:val="center"/>
          </w:tcPr>
          <w:p w14:paraId="0BC06A00" w14:textId="282B1673" w:rsidR="00087847" w:rsidRDefault="00DA05EE" w:rsidP="00DA05EE">
            <w:pPr>
              <w:jc w:val="center"/>
              <w:rPr>
                <w:rFonts w:ascii="Arial" w:hAnsi="Arial" w:cs="Arial"/>
              </w:rPr>
            </w:pPr>
            <w:r>
              <w:rPr>
                <w:rFonts w:ascii="Arial" w:hAnsi="Arial" w:cs="Arial"/>
              </w:rPr>
              <w:t>£79,988</w:t>
            </w:r>
          </w:p>
        </w:tc>
      </w:tr>
      <w:tr w:rsidR="00087847" w14:paraId="1E4FE64C" w14:textId="77777777" w:rsidTr="00DA05EE">
        <w:tc>
          <w:tcPr>
            <w:tcW w:w="8647" w:type="dxa"/>
          </w:tcPr>
          <w:p w14:paraId="52CFF36B" w14:textId="31B12DD5" w:rsidR="00087847" w:rsidRDefault="005C6733">
            <w:pPr>
              <w:rPr>
                <w:rFonts w:ascii="Arial" w:hAnsi="Arial" w:cs="Arial"/>
              </w:rPr>
            </w:pPr>
            <w:r w:rsidRPr="005C6733">
              <w:rPr>
                <w:rFonts w:ascii="Arial" w:hAnsi="Arial" w:cs="Arial"/>
              </w:rPr>
              <w:t>Audit of management systems and delivery and observation of teaching, learning and assessment</w:t>
            </w:r>
          </w:p>
        </w:tc>
        <w:tc>
          <w:tcPr>
            <w:tcW w:w="2410" w:type="dxa"/>
            <w:vAlign w:val="center"/>
          </w:tcPr>
          <w:p w14:paraId="0EBA2D76" w14:textId="0FEAF183" w:rsidR="00087847" w:rsidRDefault="00DA05EE" w:rsidP="00DA05EE">
            <w:pPr>
              <w:jc w:val="center"/>
              <w:rPr>
                <w:rFonts w:ascii="Arial" w:hAnsi="Arial" w:cs="Arial"/>
              </w:rPr>
            </w:pPr>
            <w:r>
              <w:rPr>
                <w:rFonts w:ascii="Arial" w:hAnsi="Arial" w:cs="Arial"/>
              </w:rPr>
              <w:t>£</w:t>
            </w:r>
            <w:r w:rsidR="00B71CCA">
              <w:rPr>
                <w:rFonts w:ascii="Arial" w:hAnsi="Arial" w:cs="Arial"/>
              </w:rPr>
              <w:t>47</w:t>
            </w:r>
            <w:r>
              <w:rPr>
                <w:rFonts w:ascii="Arial" w:hAnsi="Arial" w:cs="Arial"/>
              </w:rPr>
              <w:t>,</w:t>
            </w:r>
            <w:r w:rsidR="00B71CCA">
              <w:rPr>
                <w:rFonts w:ascii="Arial" w:hAnsi="Arial" w:cs="Arial"/>
              </w:rPr>
              <w:t>5</w:t>
            </w:r>
            <w:r>
              <w:rPr>
                <w:rFonts w:ascii="Arial" w:hAnsi="Arial" w:cs="Arial"/>
              </w:rPr>
              <w:t>00</w:t>
            </w:r>
          </w:p>
        </w:tc>
        <w:tc>
          <w:tcPr>
            <w:tcW w:w="850" w:type="dxa"/>
            <w:vAlign w:val="center"/>
          </w:tcPr>
          <w:p w14:paraId="176EB653" w14:textId="77777777" w:rsidR="00087847" w:rsidRDefault="00087847" w:rsidP="00DA05EE">
            <w:pPr>
              <w:jc w:val="center"/>
              <w:rPr>
                <w:rFonts w:ascii="Arial" w:hAnsi="Arial" w:cs="Arial"/>
              </w:rPr>
            </w:pPr>
          </w:p>
        </w:tc>
        <w:tc>
          <w:tcPr>
            <w:tcW w:w="2552" w:type="dxa"/>
            <w:vAlign w:val="center"/>
          </w:tcPr>
          <w:p w14:paraId="0D55594F" w14:textId="1D90F5B2" w:rsidR="00087847" w:rsidRDefault="00DA05EE" w:rsidP="00DA05EE">
            <w:pPr>
              <w:jc w:val="center"/>
              <w:rPr>
                <w:rFonts w:ascii="Arial" w:hAnsi="Arial" w:cs="Arial"/>
              </w:rPr>
            </w:pPr>
            <w:r>
              <w:rPr>
                <w:rFonts w:ascii="Arial" w:hAnsi="Arial" w:cs="Arial"/>
              </w:rPr>
              <w:t>£55,991</w:t>
            </w:r>
          </w:p>
        </w:tc>
      </w:tr>
      <w:tr w:rsidR="00087847" w14:paraId="5A24B297" w14:textId="77777777" w:rsidTr="00DA05EE">
        <w:tc>
          <w:tcPr>
            <w:tcW w:w="8647" w:type="dxa"/>
          </w:tcPr>
          <w:p w14:paraId="4B2A6642" w14:textId="3B0DE70C" w:rsidR="00087847" w:rsidRDefault="005C6733">
            <w:pPr>
              <w:rPr>
                <w:rFonts w:ascii="Arial" w:hAnsi="Arial" w:cs="Arial"/>
              </w:rPr>
            </w:pPr>
            <w:r w:rsidRPr="005C6733">
              <w:rPr>
                <w:rFonts w:ascii="Arial" w:hAnsi="Arial" w:cs="Arial"/>
              </w:rPr>
              <w:t>Due diligence, finance &amp; administrative support</w:t>
            </w:r>
          </w:p>
        </w:tc>
        <w:tc>
          <w:tcPr>
            <w:tcW w:w="2410" w:type="dxa"/>
            <w:vAlign w:val="center"/>
          </w:tcPr>
          <w:p w14:paraId="34A1DF00" w14:textId="0817D217" w:rsidR="00087847" w:rsidRDefault="00DA05EE" w:rsidP="00DA05EE">
            <w:pPr>
              <w:jc w:val="center"/>
              <w:rPr>
                <w:rFonts w:ascii="Arial" w:hAnsi="Arial" w:cs="Arial"/>
              </w:rPr>
            </w:pPr>
            <w:r>
              <w:rPr>
                <w:rFonts w:ascii="Arial" w:hAnsi="Arial" w:cs="Arial"/>
              </w:rPr>
              <w:t>£1</w:t>
            </w:r>
            <w:r w:rsidR="00B71CCA">
              <w:rPr>
                <w:rFonts w:ascii="Arial" w:hAnsi="Arial" w:cs="Arial"/>
              </w:rPr>
              <w:t>9</w:t>
            </w:r>
            <w:r>
              <w:rPr>
                <w:rFonts w:ascii="Arial" w:hAnsi="Arial" w:cs="Arial"/>
              </w:rPr>
              <w:t>,000</w:t>
            </w:r>
          </w:p>
        </w:tc>
        <w:tc>
          <w:tcPr>
            <w:tcW w:w="850" w:type="dxa"/>
            <w:vAlign w:val="center"/>
          </w:tcPr>
          <w:p w14:paraId="40F4C17E" w14:textId="77777777" w:rsidR="00087847" w:rsidRDefault="00087847" w:rsidP="00DA05EE">
            <w:pPr>
              <w:jc w:val="center"/>
              <w:rPr>
                <w:rFonts w:ascii="Arial" w:hAnsi="Arial" w:cs="Arial"/>
              </w:rPr>
            </w:pPr>
          </w:p>
        </w:tc>
        <w:tc>
          <w:tcPr>
            <w:tcW w:w="2552" w:type="dxa"/>
            <w:vAlign w:val="center"/>
          </w:tcPr>
          <w:p w14:paraId="08AFC4FC" w14:textId="2D9D0BDC" w:rsidR="00087847" w:rsidRDefault="00DA05EE" w:rsidP="00DA05EE">
            <w:pPr>
              <w:jc w:val="center"/>
              <w:rPr>
                <w:rFonts w:ascii="Arial" w:hAnsi="Arial" w:cs="Arial"/>
              </w:rPr>
            </w:pPr>
            <w:r>
              <w:rPr>
                <w:rFonts w:ascii="Arial" w:hAnsi="Arial" w:cs="Arial"/>
              </w:rPr>
              <w:t>£23,996</w:t>
            </w:r>
          </w:p>
        </w:tc>
      </w:tr>
      <w:tr w:rsidR="00087847" w14:paraId="1353171D" w14:textId="77777777" w:rsidTr="00DA05EE">
        <w:tc>
          <w:tcPr>
            <w:tcW w:w="8647" w:type="dxa"/>
          </w:tcPr>
          <w:p w14:paraId="4CE429CA" w14:textId="04EC4B0C" w:rsidR="00087847" w:rsidRDefault="005C6733">
            <w:pPr>
              <w:rPr>
                <w:rFonts w:ascii="Arial" w:hAnsi="Arial" w:cs="Arial"/>
              </w:rPr>
            </w:pPr>
            <w:r w:rsidRPr="005C6733">
              <w:rPr>
                <w:rFonts w:ascii="Arial" w:hAnsi="Arial" w:cs="Arial"/>
              </w:rPr>
              <w:t>Safeguarding of Young People and Vulnerable Adults procedures including Prevent</w:t>
            </w:r>
          </w:p>
        </w:tc>
        <w:tc>
          <w:tcPr>
            <w:tcW w:w="2410" w:type="dxa"/>
            <w:vAlign w:val="center"/>
          </w:tcPr>
          <w:p w14:paraId="6824098A" w14:textId="16B70B80" w:rsidR="00087847" w:rsidRDefault="00DA05EE" w:rsidP="00DA05EE">
            <w:pPr>
              <w:jc w:val="center"/>
              <w:rPr>
                <w:rFonts w:ascii="Arial" w:hAnsi="Arial" w:cs="Arial"/>
              </w:rPr>
            </w:pPr>
            <w:r>
              <w:rPr>
                <w:rFonts w:ascii="Arial" w:hAnsi="Arial" w:cs="Arial"/>
              </w:rPr>
              <w:t>£</w:t>
            </w:r>
            <w:r w:rsidR="00B71CCA">
              <w:rPr>
                <w:rFonts w:ascii="Arial" w:hAnsi="Arial" w:cs="Arial"/>
              </w:rPr>
              <w:t>9</w:t>
            </w:r>
            <w:r>
              <w:rPr>
                <w:rFonts w:ascii="Arial" w:hAnsi="Arial" w:cs="Arial"/>
              </w:rPr>
              <w:t>,</w:t>
            </w:r>
            <w:r w:rsidR="00B71CCA">
              <w:rPr>
                <w:rFonts w:ascii="Arial" w:hAnsi="Arial" w:cs="Arial"/>
              </w:rPr>
              <w:t>5</w:t>
            </w:r>
            <w:r>
              <w:rPr>
                <w:rFonts w:ascii="Arial" w:hAnsi="Arial" w:cs="Arial"/>
              </w:rPr>
              <w:t>00</w:t>
            </w:r>
          </w:p>
        </w:tc>
        <w:tc>
          <w:tcPr>
            <w:tcW w:w="850" w:type="dxa"/>
            <w:vAlign w:val="center"/>
          </w:tcPr>
          <w:p w14:paraId="498EE732" w14:textId="77777777" w:rsidR="00087847" w:rsidRDefault="00087847" w:rsidP="00DA05EE">
            <w:pPr>
              <w:jc w:val="center"/>
              <w:rPr>
                <w:rFonts w:ascii="Arial" w:hAnsi="Arial" w:cs="Arial"/>
              </w:rPr>
            </w:pPr>
          </w:p>
        </w:tc>
        <w:tc>
          <w:tcPr>
            <w:tcW w:w="2552" w:type="dxa"/>
            <w:vAlign w:val="center"/>
          </w:tcPr>
          <w:p w14:paraId="0A4850DE" w14:textId="2671732E" w:rsidR="00087847" w:rsidRDefault="00DA05EE" w:rsidP="00DA05EE">
            <w:pPr>
              <w:jc w:val="center"/>
              <w:rPr>
                <w:rFonts w:ascii="Arial" w:hAnsi="Arial" w:cs="Arial"/>
              </w:rPr>
            </w:pPr>
            <w:r>
              <w:rPr>
                <w:rFonts w:ascii="Arial" w:hAnsi="Arial" w:cs="Arial"/>
              </w:rPr>
              <w:t>£7,999</w:t>
            </w:r>
          </w:p>
        </w:tc>
      </w:tr>
      <w:tr w:rsidR="00087847" w14:paraId="5F1CA9CF" w14:textId="77777777" w:rsidTr="00DA05EE">
        <w:tc>
          <w:tcPr>
            <w:tcW w:w="8647" w:type="dxa"/>
          </w:tcPr>
          <w:p w14:paraId="75AA6B6E" w14:textId="3811BEDF" w:rsidR="00087847" w:rsidRDefault="005C6733">
            <w:pPr>
              <w:rPr>
                <w:rFonts w:ascii="Arial" w:hAnsi="Arial" w:cs="Arial"/>
              </w:rPr>
            </w:pPr>
            <w:r w:rsidRPr="005C6733">
              <w:rPr>
                <w:rFonts w:ascii="Arial" w:hAnsi="Arial" w:cs="Arial"/>
              </w:rPr>
              <w:t>Equality, diversity and inclusion</w:t>
            </w:r>
          </w:p>
        </w:tc>
        <w:tc>
          <w:tcPr>
            <w:tcW w:w="2410" w:type="dxa"/>
            <w:vAlign w:val="center"/>
          </w:tcPr>
          <w:p w14:paraId="25E84822" w14:textId="01A6E261" w:rsidR="00087847" w:rsidRDefault="00DA05EE" w:rsidP="00DA05EE">
            <w:pPr>
              <w:jc w:val="center"/>
              <w:rPr>
                <w:rFonts w:ascii="Arial" w:hAnsi="Arial" w:cs="Arial"/>
              </w:rPr>
            </w:pPr>
            <w:r>
              <w:rPr>
                <w:rFonts w:ascii="Arial" w:hAnsi="Arial" w:cs="Arial"/>
              </w:rPr>
              <w:t>£</w:t>
            </w:r>
            <w:r w:rsidR="00CC6A79">
              <w:rPr>
                <w:rFonts w:ascii="Arial" w:hAnsi="Arial" w:cs="Arial"/>
              </w:rPr>
              <w:t>9</w:t>
            </w:r>
            <w:r>
              <w:rPr>
                <w:rFonts w:ascii="Arial" w:hAnsi="Arial" w:cs="Arial"/>
              </w:rPr>
              <w:t>,</w:t>
            </w:r>
            <w:r w:rsidR="00CC6A79">
              <w:rPr>
                <w:rFonts w:ascii="Arial" w:hAnsi="Arial" w:cs="Arial"/>
              </w:rPr>
              <w:t>5</w:t>
            </w:r>
            <w:r>
              <w:rPr>
                <w:rFonts w:ascii="Arial" w:hAnsi="Arial" w:cs="Arial"/>
              </w:rPr>
              <w:t>00</w:t>
            </w:r>
          </w:p>
        </w:tc>
        <w:tc>
          <w:tcPr>
            <w:tcW w:w="850" w:type="dxa"/>
            <w:vAlign w:val="center"/>
          </w:tcPr>
          <w:p w14:paraId="5B240CDA" w14:textId="77777777" w:rsidR="00087847" w:rsidRDefault="00087847" w:rsidP="00DA05EE">
            <w:pPr>
              <w:jc w:val="center"/>
              <w:rPr>
                <w:rFonts w:ascii="Arial" w:hAnsi="Arial" w:cs="Arial"/>
              </w:rPr>
            </w:pPr>
          </w:p>
        </w:tc>
        <w:tc>
          <w:tcPr>
            <w:tcW w:w="2552" w:type="dxa"/>
            <w:vAlign w:val="center"/>
          </w:tcPr>
          <w:p w14:paraId="110DF27F" w14:textId="3D405F02" w:rsidR="00087847" w:rsidRDefault="00DA05EE" w:rsidP="00DA05EE">
            <w:pPr>
              <w:jc w:val="center"/>
              <w:rPr>
                <w:rFonts w:ascii="Arial" w:hAnsi="Arial" w:cs="Arial"/>
              </w:rPr>
            </w:pPr>
            <w:r>
              <w:rPr>
                <w:rFonts w:ascii="Arial" w:hAnsi="Arial" w:cs="Arial"/>
              </w:rPr>
              <w:t>£7,999</w:t>
            </w:r>
          </w:p>
        </w:tc>
      </w:tr>
      <w:tr w:rsidR="00087847" w14:paraId="10BB71C8" w14:textId="77777777" w:rsidTr="00DA05EE">
        <w:tc>
          <w:tcPr>
            <w:tcW w:w="8647" w:type="dxa"/>
            <w:vAlign w:val="bottom"/>
          </w:tcPr>
          <w:p w14:paraId="7FF078D0" w14:textId="77777777" w:rsidR="00DA05EE" w:rsidRDefault="00DA05EE" w:rsidP="00DA05EE">
            <w:pPr>
              <w:rPr>
                <w:rFonts w:ascii="Arial" w:hAnsi="Arial" w:cs="Arial"/>
                <w:b/>
              </w:rPr>
            </w:pPr>
          </w:p>
          <w:p w14:paraId="6CBDE184" w14:textId="7EC252D4" w:rsidR="00DA05EE" w:rsidRPr="00DA05EE" w:rsidRDefault="00DA05EE" w:rsidP="00DA05EE">
            <w:pPr>
              <w:rPr>
                <w:rFonts w:ascii="Arial" w:hAnsi="Arial" w:cs="Arial"/>
                <w:b/>
              </w:rPr>
            </w:pPr>
            <w:r w:rsidRPr="00DA05EE">
              <w:rPr>
                <w:rFonts w:ascii="Arial" w:hAnsi="Arial" w:cs="Arial"/>
                <w:b/>
              </w:rPr>
              <w:t>Total funding retained</w:t>
            </w:r>
          </w:p>
          <w:p w14:paraId="7A42A6BB" w14:textId="5BCD4431" w:rsidR="00DA05EE" w:rsidRPr="00DA05EE" w:rsidRDefault="00DA05EE" w:rsidP="00DA05EE">
            <w:pPr>
              <w:rPr>
                <w:rFonts w:ascii="Arial" w:hAnsi="Arial" w:cs="Arial"/>
                <w:b/>
              </w:rPr>
            </w:pPr>
          </w:p>
        </w:tc>
        <w:tc>
          <w:tcPr>
            <w:tcW w:w="2410" w:type="dxa"/>
            <w:vAlign w:val="center"/>
          </w:tcPr>
          <w:p w14:paraId="6A034BD1" w14:textId="205A5F30" w:rsidR="00087847" w:rsidRPr="00DA05EE" w:rsidRDefault="00DA05EE" w:rsidP="00DA05EE">
            <w:pPr>
              <w:jc w:val="center"/>
              <w:rPr>
                <w:rFonts w:ascii="Arial" w:hAnsi="Arial" w:cs="Arial"/>
                <w:b/>
              </w:rPr>
            </w:pPr>
            <w:r w:rsidRPr="00DA05EE">
              <w:rPr>
                <w:rFonts w:ascii="Arial" w:hAnsi="Arial" w:cs="Arial"/>
                <w:b/>
              </w:rPr>
              <w:t>£1</w:t>
            </w:r>
            <w:r w:rsidR="00CC6A79">
              <w:rPr>
                <w:rFonts w:ascii="Arial" w:hAnsi="Arial" w:cs="Arial"/>
                <w:b/>
              </w:rPr>
              <w:t>9</w:t>
            </w:r>
            <w:r w:rsidRPr="00DA05EE">
              <w:rPr>
                <w:rFonts w:ascii="Arial" w:hAnsi="Arial" w:cs="Arial"/>
                <w:b/>
              </w:rPr>
              <w:t>0,000</w:t>
            </w:r>
          </w:p>
        </w:tc>
        <w:tc>
          <w:tcPr>
            <w:tcW w:w="850" w:type="dxa"/>
            <w:vAlign w:val="center"/>
          </w:tcPr>
          <w:p w14:paraId="1B8082BF" w14:textId="77777777" w:rsidR="00087847" w:rsidRPr="00DA05EE" w:rsidRDefault="00087847" w:rsidP="00DA05EE">
            <w:pPr>
              <w:jc w:val="center"/>
              <w:rPr>
                <w:rFonts w:ascii="Arial" w:hAnsi="Arial" w:cs="Arial"/>
                <w:b/>
              </w:rPr>
            </w:pPr>
          </w:p>
        </w:tc>
        <w:tc>
          <w:tcPr>
            <w:tcW w:w="2552" w:type="dxa"/>
            <w:vAlign w:val="center"/>
          </w:tcPr>
          <w:p w14:paraId="2C24897E" w14:textId="2E3D3FB8" w:rsidR="00087847" w:rsidRPr="00DA05EE" w:rsidRDefault="00DA05EE" w:rsidP="00DA05EE">
            <w:pPr>
              <w:jc w:val="center"/>
              <w:rPr>
                <w:rFonts w:ascii="Arial" w:hAnsi="Arial" w:cs="Arial"/>
                <w:b/>
              </w:rPr>
            </w:pPr>
            <w:r w:rsidRPr="00DA05EE">
              <w:rPr>
                <w:rFonts w:ascii="Arial" w:hAnsi="Arial" w:cs="Arial"/>
                <w:b/>
              </w:rPr>
              <w:t>£</w:t>
            </w:r>
            <w:r>
              <w:rPr>
                <w:rFonts w:ascii="Arial" w:hAnsi="Arial" w:cs="Arial"/>
                <w:b/>
              </w:rPr>
              <w:t>215,966</w:t>
            </w:r>
          </w:p>
        </w:tc>
      </w:tr>
    </w:tbl>
    <w:p w14:paraId="3FDBB0F3" w14:textId="6A202521" w:rsidR="00087847" w:rsidRDefault="00087847">
      <w:pPr>
        <w:rPr>
          <w:rFonts w:ascii="Arial" w:hAnsi="Arial" w:cs="Arial"/>
        </w:rPr>
      </w:pPr>
    </w:p>
    <w:p w14:paraId="6E3D4E6F" w14:textId="40F6E44C" w:rsidR="00087847" w:rsidRDefault="00087847">
      <w:pPr>
        <w:rPr>
          <w:rFonts w:ascii="Arial" w:hAnsi="Arial" w:cs="Arial"/>
        </w:rPr>
      </w:pPr>
    </w:p>
    <w:p w14:paraId="5AA107B5" w14:textId="6EB18B42" w:rsidR="00087847" w:rsidRDefault="00087847">
      <w:pPr>
        <w:rPr>
          <w:rFonts w:ascii="Arial" w:hAnsi="Arial" w:cs="Arial"/>
        </w:rPr>
      </w:pPr>
    </w:p>
    <w:p w14:paraId="2C386162" w14:textId="09FCB091" w:rsidR="00087847" w:rsidRDefault="00087847">
      <w:pPr>
        <w:rPr>
          <w:rFonts w:ascii="Arial" w:hAnsi="Arial" w:cs="Arial"/>
        </w:rPr>
      </w:pPr>
    </w:p>
    <w:p w14:paraId="69658496" w14:textId="769C6E18" w:rsidR="00087847" w:rsidRDefault="00087847">
      <w:pPr>
        <w:rPr>
          <w:rFonts w:ascii="Arial" w:hAnsi="Arial" w:cs="Arial"/>
        </w:rPr>
      </w:pPr>
    </w:p>
    <w:p w14:paraId="6A38755E" w14:textId="77777777" w:rsidR="00087847" w:rsidRDefault="00087847">
      <w:pPr>
        <w:rPr>
          <w:rFonts w:ascii="Arial" w:hAnsi="Arial" w:cs="Arial"/>
        </w:rPr>
      </w:pPr>
    </w:p>
    <w:p w14:paraId="510CA94D" w14:textId="6BE9ADDE" w:rsidR="0024149C" w:rsidRDefault="0024149C" w:rsidP="0024149C">
      <w:pPr>
        <w:rPr>
          <w:rFonts w:ascii="Arial" w:hAnsi="Arial" w:cs="Arial"/>
        </w:rPr>
      </w:pPr>
      <w:r>
        <w:rPr>
          <w:rFonts w:ascii="Arial" w:hAnsi="Arial" w:cs="Arial"/>
        </w:rPr>
        <w:t>Date of next review: November 20</w:t>
      </w:r>
      <w:r w:rsidR="000A7876">
        <w:rPr>
          <w:rFonts w:ascii="Arial" w:hAnsi="Arial" w:cs="Arial"/>
        </w:rPr>
        <w:t>2</w:t>
      </w:r>
      <w:r w:rsidR="000937FF">
        <w:rPr>
          <w:rFonts w:ascii="Arial" w:hAnsi="Arial" w:cs="Arial"/>
        </w:rPr>
        <w:t>2</w:t>
      </w:r>
    </w:p>
    <w:p w14:paraId="510CA94E" w14:textId="77777777" w:rsidR="0024149C" w:rsidRDefault="0024149C">
      <w:pPr>
        <w:rPr>
          <w:rFonts w:ascii="Arial" w:hAnsi="Arial" w:cs="Arial"/>
        </w:rPr>
      </w:pPr>
    </w:p>
    <w:sectPr w:rsidR="0024149C" w:rsidSect="000A7876">
      <w:pgSz w:w="16838" w:h="11906" w:orient="landscape"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36CA" w14:textId="77777777" w:rsidR="00E145B6" w:rsidRDefault="00E145B6" w:rsidP="00E145B6">
      <w:pPr>
        <w:spacing w:after="0" w:line="240" w:lineRule="auto"/>
      </w:pPr>
      <w:r>
        <w:separator/>
      </w:r>
    </w:p>
  </w:endnote>
  <w:endnote w:type="continuationSeparator" w:id="0">
    <w:p w14:paraId="79CA53C2" w14:textId="77777777" w:rsidR="00E145B6" w:rsidRDefault="00E145B6" w:rsidP="00E1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D25B" w14:textId="77777777" w:rsidR="00E145B6" w:rsidRDefault="00E1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AB3" w14:textId="77777777" w:rsidR="00E145B6" w:rsidRDefault="00E14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BAEA" w14:textId="77777777" w:rsidR="00E145B6" w:rsidRDefault="00E1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B6E4" w14:textId="77777777" w:rsidR="00E145B6" w:rsidRDefault="00E145B6" w:rsidP="00E145B6">
      <w:pPr>
        <w:spacing w:after="0" w:line="240" w:lineRule="auto"/>
      </w:pPr>
      <w:r>
        <w:separator/>
      </w:r>
    </w:p>
  </w:footnote>
  <w:footnote w:type="continuationSeparator" w:id="0">
    <w:p w14:paraId="7DB1EF2B" w14:textId="77777777" w:rsidR="00E145B6" w:rsidRDefault="00E145B6" w:rsidP="00E1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F839" w14:textId="77777777" w:rsidR="00E145B6" w:rsidRDefault="00E1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6671" w14:textId="4BC77C31" w:rsidR="00E145B6" w:rsidRDefault="00E14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1D65" w14:textId="77777777" w:rsidR="00E145B6" w:rsidRDefault="00E1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ED"/>
    <w:multiLevelType w:val="multilevel"/>
    <w:tmpl w:val="925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024B"/>
    <w:multiLevelType w:val="multilevel"/>
    <w:tmpl w:val="1EC00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1E0C74"/>
    <w:multiLevelType w:val="multilevel"/>
    <w:tmpl w:val="CFAA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221FB"/>
    <w:multiLevelType w:val="hybridMultilevel"/>
    <w:tmpl w:val="9592A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5639637">
    <w:abstractNumId w:val="1"/>
  </w:num>
  <w:num w:numId="2" w16cid:durableId="1481922119">
    <w:abstractNumId w:val="0"/>
  </w:num>
  <w:num w:numId="3" w16cid:durableId="796606478">
    <w:abstractNumId w:val="2"/>
  </w:num>
  <w:num w:numId="4" w16cid:durableId="1524130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27"/>
    <w:rsid w:val="000170C5"/>
    <w:rsid w:val="00017A73"/>
    <w:rsid w:val="00067546"/>
    <w:rsid w:val="00087847"/>
    <w:rsid w:val="000937FF"/>
    <w:rsid w:val="000A7876"/>
    <w:rsid w:val="000B100C"/>
    <w:rsid w:val="000D60E8"/>
    <w:rsid w:val="00160EE0"/>
    <w:rsid w:val="00182D2D"/>
    <w:rsid w:val="00192123"/>
    <w:rsid w:val="001F16D6"/>
    <w:rsid w:val="001F47D7"/>
    <w:rsid w:val="001F5886"/>
    <w:rsid w:val="0024149C"/>
    <w:rsid w:val="002A45A2"/>
    <w:rsid w:val="002C1D0B"/>
    <w:rsid w:val="00345B5C"/>
    <w:rsid w:val="00386B27"/>
    <w:rsid w:val="00391179"/>
    <w:rsid w:val="00392EAE"/>
    <w:rsid w:val="003A5DF9"/>
    <w:rsid w:val="003E37DE"/>
    <w:rsid w:val="003F3FA6"/>
    <w:rsid w:val="003F4299"/>
    <w:rsid w:val="00404D62"/>
    <w:rsid w:val="00414EE0"/>
    <w:rsid w:val="00430071"/>
    <w:rsid w:val="005113A7"/>
    <w:rsid w:val="005132C5"/>
    <w:rsid w:val="00544BF8"/>
    <w:rsid w:val="005A4442"/>
    <w:rsid w:val="005C6733"/>
    <w:rsid w:val="005F4D04"/>
    <w:rsid w:val="00632C94"/>
    <w:rsid w:val="00640858"/>
    <w:rsid w:val="00664B70"/>
    <w:rsid w:val="00674AC9"/>
    <w:rsid w:val="006B3A86"/>
    <w:rsid w:val="006D73E3"/>
    <w:rsid w:val="006E3334"/>
    <w:rsid w:val="00703FA7"/>
    <w:rsid w:val="00782311"/>
    <w:rsid w:val="007D7AB3"/>
    <w:rsid w:val="0080103C"/>
    <w:rsid w:val="00837A18"/>
    <w:rsid w:val="00877984"/>
    <w:rsid w:val="008B3939"/>
    <w:rsid w:val="008B5EBF"/>
    <w:rsid w:val="008C0F64"/>
    <w:rsid w:val="008C3839"/>
    <w:rsid w:val="009060AE"/>
    <w:rsid w:val="00910D30"/>
    <w:rsid w:val="009766AC"/>
    <w:rsid w:val="009C6F6C"/>
    <w:rsid w:val="009E0992"/>
    <w:rsid w:val="00A00B56"/>
    <w:rsid w:val="00A242E4"/>
    <w:rsid w:val="00A93125"/>
    <w:rsid w:val="00AA42F5"/>
    <w:rsid w:val="00AB2EE0"/>
    <w:rsid w:val="00AD2FEE"/>
    <w:rsid w:val="00AE4099"/>
    <w:rsid w:val="00AF2634"/>
    <w:rsid w:val="00B3692E"/>
    <w:rsid w:val="00B71CCA"/>
    <w:rsid w:val="00B93356"/>
    <w:rsid w:val="00C43E83"/>
    <w:rsid w:val="00C74ED5"/>
    <w:rsid w:val="00CC3F57"/>
    <w:rsid w:val="00CC6A79"/>
    <w:rsid w:val="00CE77E6"/>
    <w:rsid w:val="00CF13A4"/>
    <w:rsid w:val="00D41562"/>
    <w:rsid w:val="00D664FE"/>
    <w:rsid w:val="00DA05EE"/>
    <w:rsid w:val="00DB7413"/>
    <w:rsid w:val="00E145B6"/>
    <w:rsid w:val="00F8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CA8FE"/>
  <w15:docId w15:val="{2F3C677F-941A-405E-9887-922C245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6B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6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86B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6B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92"/>
    <w:rPr>
      <w:rFonts w:ascii="Segoe UI" w:hAnsi="Segoe UI" w:cs="Segoe UI"/>
      <w:sz w:val="18"/>
      <w:szCs w:val="18"/>
    </w:rPr>
  </w:style>
  <w:style w:type="paragraph" w:styleId="ListParagraph">
    <w:name w:val="List Paragraph"/>
    <w:basedOn w:val="Normal"/>
    <w:uiPriority w:val="34"/>
    <w:qFormat/>
    <w:rsid w:val="000A7876"/>
    <w:pPr>
      <w:spacing w:after="5" w:line="269" w:lineRule="auto"/>
      <w:ind w:left="720" w:hanging="10"/>
      <w:contextualSpacing/>
    </w:pPr>
    <w:rPr>
      <w:rFonts w:ascii="Arial" w:eastAsia="Arial" w:hAnsi="Arial" w:cs="Arial"/>
      <w:color w:val="000000"/>
      <w:sz w:val="24"/>
    </w:rPr>
  </w:style>
  <w:style w:type="table" w:styleId="TableGrid">
    <w:name w:val="Table Grid"/>
    <w:basedOn w:val="TableNormal"/>
    <w:uiPriority w:val="39"/>
    <w:rsid w:val="000A78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B6"/>
  </w:style>
  <w:style w:type="paragraph" w:styleId="Footer">
    <w:name w:val="footer"/>
    <w:basedOn w:val="Normal"/>
    <w:link w:val="FooterChar"/>
    <w:uiPriority w:val="99"/>
    <w:unhideWhenUsed/>
    <w:rsid w:val="00E1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6336">
      <w:bodyDiv w:val="1"/>
      <w:marLeft w:val="0"/>
      <w:marRight w:val="0"/>
      <w:marTop w:val="0"/>
      <w:marBottom w:val="0"/>
      <w:divBdr>
        <w:top w:val="none" w:sz="0" w:space="0" w:color="auto"/>
        <w:left w:val="none" w:sz="0" w:space="0" w:color="auto"/>
        <w:bottom w:val="none" w:sz="0" w:space="0" w:color="auto"/>
        <w:right w:val="none" w:sz="0" w:space="0" w:color="auto"/>
      </w:divBdr>
      <w:divsChild>
        <w:div w:id="284122350">
          <w:marLeft w:val="0"/>
          <w:marRight w:val="0"/>
          <w:marTop w:val="0"/>
          <w:marBottom w:val="0"/>
          <w:divBdr>
            <w:top w:val="none" w:sz="0" w:space="0" w:color="auto"/>
            <w:left w:val="none" w:sz="0" w:space="0" w:color="auto"/>
            <w:bottom w:val="none" w:sz="0" w:space="0" w:color="auto"/>
            <w:right w:val="none" w:sz="0" w:space="0" w:color="auto"/>
          </w:divBdr>
          <w:divsChild>
            <w:div w:id="1097864437">
              <w:marLeft w:val="0"/>
              <w:marRight w:val="0"/>
              <w:marTop w:val="0"/>
              <w:marBottom w:val="0"/>
              <w:divBdr>
                <w:top w:val="none" w:sz="0" w:space="0" w:color="auto"/>
                <w:left w:val="none" w:sz="0" w:space="0" w:color="auto"/>
                <w:bottom w:val="none" w:sz="0" w:space="0" w:color="auto"/>
                <w:right w:val="none" w:sz="0" w:space="0" w:color="auto"/>
              </w:divBdr>
              <w:divsChild>
                <w:div w:id="1926914570">
                  <w:marLeft w:val="0"/>
                  <w:marRight w:val="0"/>
                  <w:marTop w:val="0"/>
                  <w:marBottom w:val="0"/>
                  <w:divBdr>
                    <w:top w:val="none" w:sz="0" w:space="0" w:color="auto"/>
                    <w:left w:val="none" w:sz="0" w:space="0" w:color="auto"/>
                    <w:bottom w:val="none" w:sz="0" w:space="0" w:color="auto"/>
                    <w:right w:val="none" w:sz="0" w:space="0" w:color="auto"/>
                  </w:divBdr>
                  <w:divsChild>
                    <w:div w:id="1529097919">
                      <w:marLeft w:val="0"/>
                      <w:marRight w:val="0"/>
                      <w:marTop w:val="0"/>
                      <w:marBottom w:val="0"/>
                      <w:divBdr>
                        <w:top w:val="none" w:sz="0" w:space="0" w:color="auto"/>
                        <w:left w:val="none" w:sz="0" w:space="0" w:color="auto"/>
                        <w:bottom w:val="none" w:sz="0" w:space="0" w:color="auto"/>
                        <w:right w:val="none" w:sz="0" w:space="0" w:color="auto"/>
                      </w:divBdr>
                      <w:divsChild>
                        <w:div w:id="12996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16" ma:contentTypeDescription="Create a new document." ma:contentTypeScope="" ma:versionID="33363dc9adc544ce338144f4b8339bd9">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1e5cfb3ef639d4504f6535fb182863d1"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1E73AE-57C4-47E2-851A-6FB1BB622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c4218-8b7b-4c25-aad8-2ddba262a5c8"/>
    <ds:schemaRef ds:uri="ea58b423-c68f-4907-ae43-3a451bef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6309-A544-4179-B0E8-68AC64D8AD65}">
  <ds:schemaRefs>
    <ds:schemaRef ds:uri="http://schemas.microsoft.com/sharepoint/v3/contenttype/forms"/>
  </ds:schemaRefs>
</ds:datastoreItem>
</file>

<file path=customXml/itemProps3.xml><?xml version="1.0" encoding="utf-8"?>
<ds:datastoreItem xmlns:ds="http://schemas.openxmlformats.org/officeDocument/2006/customXml" ds:itemID="{20B5F127-B6DE-4390-8A19-F2512E65E999}">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470c4218-8b7b-4c25-aad8-2ddba262a5c8"/>
    <ds:schemaRef ds:uri="http://schemas.openxmlformats.org/package/2006/metadata/core-properties"/>
    <ds:schemaRef ds:uri="ea58b423-c68f-4907-ae43-3a451befe20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Edward Gwillim</cp:lastModifiedBy>
  <cp:revision>5</cp:revision>
  <cp:lastPrinted>2020-02-24T09:42:00Z</cp:lastPrinted>
  <dcterms:created xsi:type="dcterms:W3CDTF">2022-03-01T09:15:00Z</dcterms:created>
  <dcterms:modified xsi:type="dcterms:W3CDTF">2022-05-26T09:02:00Z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ies>
</file>